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47" w:rsidRPr="00342084" w:rsidRDefault="00663647" w:rsidP="00D229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2084">
        <w:rPr>
          <w:b/>
          <w:bCs/>
          <w:sz w:val="28"/>
          <w:szCs w:val="28"/>
        </w:rPr>
        <w:t>Отчет</w:t>
      </w:r>
    </w:p>
    <w:p w:rsidR="00663647" w:rsidRDefault="00663647" w:rsidP="00A108D0">
      <w:pPr>
        <w:tabs>
          <w:tab w:val="left" w:pos="11895"/>
        </w:tabs>
        <w:jc w:val="center"/>
        <w:rPr>
          <w:b/>
          <w:bCs/>
          <w:sz w:val="28"/>
          <w:szCs w:val="28"/>
        </w:rPr>
      </w:pPr>
      <w:r w:rsidRPr="00342084">
        <w:rPr>
          <w:b/>
          <w:bCs/>
          <w:sz w:val="28"/>
          <w:szCs w:val="28"/>
        </w:rPr>
        <w:t>по плану мероприятий</w:t>
      </w:r>
      <w:r>
        <w:rPr>
          <w:b/>
          <w:bCs/>
          <w:sz w:val="28"/>
          <w:szCs w:val="28"/>
        </w:rPr>
        <w:t xml:space="preserve"> направленных</w:t>
      </w:r>
      <w:r w:rsidRPr="00732003">
        <w:rPr>
          <w:b/>
          <w:bCs/>
          <w:sz w:val="28"/>
          <w:szCs w:val="28"/>
        </w:rPr>
        <w:t xml:space="preserve"> на выполнение муниципальной комплексной программы социально-экономического развития муниципального образования «Смидовичский муниципальный район» ЕАО </w:t>
      </w:r>
    </w:p>
    <w:p w:rsidR="00663647" w:rsidRPr="00732003" w:rsidRDefault="00663647" w:rsidP="00A108D0">
      <w:pPr>
        <w:tabs>
          <w:tab w:val="left" w:pos="11895"/>
        </w:tabs>
        <w:jc w:val="center"/>
        <w:rPr>
          <w:b/>
          <w:bCs/>
          <w:sz w:val="28"/>
          <w:szCs w:val="28"/>
        </w:rPr>
      </w:pPr>
      <w:r w:rsidRPr="00732003">
        <w:rPr>
          <w:b/>
          <w:bCs/>
          <w:sz w:val="28"/>
          <w:szCs w:val="28"/>
        </w:rPr>
        <w:t>на 2016-2020 годы</w:t>
      </w:r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  <w:lang w:val="en-US"/>
        </w:rPr>
        <w:t>II</w:t>
      </w:r>
      <w:r w:rsidRPr="00A8296E">
        <w:rPr>
          <w:b/>
          <w:bCs/>
          <w:sz w:val="28"/>
          <w:szCs w:val="28"/>
          <w:lang w:val="en-US"/>
        </w:rPr>
        <w:t>I</w:t>
      </w:r>
      <w:r w:rsidR="00D86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2019 года</w:t>
      </w:r>
    </w:p>
    <w:p w:rsidR="00663647" w:rsidRDefault="00663647"/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97"/>
        <w:gridCol w:w="4892"/>
        <w:gridCol w:w="51"/>
        <w:gridCol w:w="9090"/>
      </w:tblGrid>
      <w:tr w:rsidR="00663647" w:rsidRPr="00C459F7" w:rsidTr="0050597C">
        <w:trPr>
          <w:trHeight w:val="706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№</w:t>
            </w:r>
          </w:p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п/п</w:t>
            </w:r>
          </w:p>
        </w:tc>
        <w:tc>
          <w:tcPr>
            <w:tcW w:w="4892" w:type="dxa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Наименование мероприятия</w:t>
            </w:r>
          </w:p>
        </w:tc>
        <w:tc>
          <w:tcPr>
            <w:tcW w:w="914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 xml:space="preserve">Выполнение 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1</w:t>
            </w:r>
          </w:p>
        </w:tc>
        <w:tc>
          <w:tcPr>
            <w:tcW w:w="4892" w:type="dxa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2</w:t>
            </w:r>
          </w:p>
        </w:tc>
        <w:tc>
          <w:tcPr>
            <w:tcW w:w="914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3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D957B9">
            <w:pPr>
              <w:tabs>
                <w:tab w:val="left" w:pos="11895"/>
              </w:tabs>
              <w:jc w:val="center"/>
            </w:pPr>
            <w:r>
              <w:t>1. Наращивание экономического потенциала района, снижение рисков и повышение его инвестиционной привлекательности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Default="00663647" w:rsidP="00D957B9">
            <w:pPr>
              <w:tabs>
                <w:tab w:val="left" w:pos="11895"/>
              </w:tabs>
              <w:jc w:val="center"/>
            </w:pPr>
            <w:r>
              <w:t>1.3.Сельское хозяйство</w:t>
            </w:r>
          </w:p>
        </w:tc>
      </w:tr>
      <w:tr w:rsidR="00663647" w:rsidRPr="00C459F7" w:rsidTr="0050597C">
        <w:trPr>
          <w:trHeight w:val="180"/>
        </w:trPr>
        <w:tc>
          <w:tcPr>
            <w:tcW w:w="754" w:type="dxa"/>
          </w:tcPr>
          <w:p w:rsidR="00663647" w:rsidRDefault="00663647" w:rsidP="00D957B9">
            <w:pPr>
              <w:tabs>
                <w:tab w:val="left" w:pos="11895"/>
              </w:tabs>
              <w:jc w:val="center"/>
            </w:pPr>
            <w:r>
              <w:t>1.3.1</w:t>
            </w:r>
          </w:p>
        </w:tc>
        <w:tc>
          <w:tcPr>
            <w:tcW w:w="5040" w:type="dxa"/>
            <w:gridSpan w:val="3"/>
          </w:tcPr>
          <w:p w:rsidR="00663647" w:rsidRDefault="00663647" w:rsidP="00D957B9">
            <w:pPr>
              <w:tabs>
                <w:tab w:val="left" w:pos="11895"/>
              </w:tabs>
              <w:jc w:val="center"/>
            </w:pPr>
            <w:r>
              <w:t>Строительство свиноводческого комплекса на 27,0 тыс. голов (Агрокомплекс «Тунгусский», с.Партизанское )</w:t>
            </w:r>
          </w:p>
        </w:tc>
        <w:tc>
          <w:tcPr>
            <w:tcW w:w="9090" w:type="dxa"/>
          </w:tcPr>
          <w:p w:rsidR="00663647" w:rsidRDefault="00663647" w:rsidP="00E1650F">
            <w:pPr>
              <w:jc w:val="both"/>
            </w:pPr>
            <w:r>
              <w:t>Управление сельского хозяйства продолжает оказывать содействие по расширению производства сельскохозяйственной продукции  в имеющихся сельскохозяйственных предприятиях.</w:t>
            </w:r>
          </w:p>
          <w:p w:rsidR="00663647" w:rsidRDefault="00663647" w:rsidP="00E1650F">
            <w:pPr>
              <w:jc w:val="both"/>
            </w:pPr>
            <w:r>
              <w:t xml:space="preserve">       Объем капитальных вложений в 2019 году составил более 5 млн. рублей. Выполнены работы по монтажу новой линии ВЛЗ 10 кВ протяженностью </w:t>
            </w:r>
            <w:smartTag w:uri="urn:schemas-microsoft-com:office:smarttags" w:element="metricconverter">
              <w:smartTagPr>
                <w:attr w:name="ProductID" w:val="1,38 км"/>
              </w:smartTagPr>
              <w:r>
                <w:t>1,38 км</w:t>
              </w:r>
            </w:smartTag>
            <w:r>
              <w:t xml:space="preserve">. Смонтированы 2 КТП 10/0,4 кВ мощностью 400 кВА. Установлен забор по внешнему периметру объекта протяженностью более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>. Проложены подземные магистрали навозоудаления с 3-х свинарников. Вырыт и уплотнен котлован для навозохранилища для сбора и хранения навоза с общим объемом более 24 тыс. тонн.</w:t>
            </w:r>
          </w:p>
          <w:p w:rsidR="00663647" w:rsidRDefault="00663647" w:rsidP="00E1650F">
            <w:pPr>
              <w:tabs>
                <w:tab w:val="left" w:pos="11895"/>
              </w:tabs>
              <w:jc w:val="both"/>
            </w:pPr>
            <w:r>
              <w:t xml:space="preserve">          В настоящее время поголовье свиней составляет 3800 голов.</w:t>
            </w:r>
          </w:p>
          <w:p w:rsidR="00663647" w:rsidRDefault="00663647" w:rsidP="00E1650F">
            <w:pPr>
              <w:tabs>
                <w:tab w:val="left" w:pos="11895"/>
              </w:tabs>
              <w:jc w:val="both"/>
            </w:pPr>
            <w:r>
              <w:t>Работа по реконструкции комплекса продолжается.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D957B9">
            <w:pPr>
              <w:tabs>
                <w:tab w:val="left" w:pos="11895"/>
              </w:tabs>
              <w:jc w:val="center"/>
            </w:pPr>
            <w:r w:rsidRPr="00D957B9">
              <w:t>1.4. Жилищно-коммунальное хозяйство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D957B9">
              <w:t>1.4.9</w:t>
            </w:r>
          </w:p>
        </w:tc>
        <w:tc>
          <w:tcPr>
            <w:tcW w:w="4892" w:type="dxa"/>
          </w:tcPr>
          <w:p w:rsidR="00663647" w:rsidRPr="00D957B9" w:rsidRDefault="00663647" w:rsidP="003D5E2C">
            <w:pPr>
              <w:tabs>
                <w:tab w:val="left" w:pos="11895"/>
              </w:tabs>
              <w:jc w:val="both"/>
            </w:pPr>
            <w:r w:rsidRPr="00D957B9">
              <w:t>Капитальный ремонт водонапорной башни пос.Смидович</w:t>
            </w:r>
          </w:p>
        </w:tc>
        <w:tc>
          <w:tcPr>
            <w:tcW w:w="9141" w:type="dxa"/>
            <w:gridSpan w:val="2"/>
          </w:tcPr>
          <w:p w:rsidR="00663647" w:rsidRPr="00363E14" w:rsidRDefault="00663647" w:rsidP="003D5E2C">
            <w:pPr>
              <w:tabs>
                <w:tab w:val="left" w:pos="11895"/>
              </w:tabs>
              <w:jc w:val="both"/>
              <w:rPr>
                <w:highlight w:val="yellow"/>
              </w:rPr>
            </w:pPr>
            <w:r w:rsidRPr="00F71C35">
              <w:t>Управлением жилищно-коммунального хозяйства администрации Смидовичского муниципального района совместно с Смидовичским городским поселением ведется работа о вхождении поселения в федеральную программу «Чистая вода» с реконструкцией водозабора «Северный» и реконструкцией системы водоснабжения северной части пос. Смидович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E32205">
            <w:pPr>
              <w:tabs>
                <w:tab w:val="left" w:pos="11895"/>
              </w:tabs>
              <w:jc w:val="center"/>
            </w:pPr>
            <w:r w:rsidRPr="00D957B9">
              <w:t>2. Развитие социальной сферы, улучшение условий жизнедеятельности населения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E32205">
            <w:pPr>
              <w:tabs>
                <w:tab w:val="left" w:pos="11895"/>
              </w:tabs>
              <w:jc w:val="center"/>
            </w:pPr>
            <w:r w:rsidRPr="00D957B9">
              <w:t>2.1.Совершенствование материально-технической базы учреждений культуры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2.1.2</w:t>
            </w:r>
          </w:p>
        </w:tc>
        <w:tc>
          <w:tcPr>
            <w:tcW w:w="4892" w:type="dxa"/>
          </w:tcPr>
          <w:p w:rsidR="00663647" w:rsidRPr="00D957B9" w:rsidRDefault="0023607D" w:rsidP="00E32205">
            <w:pPr>
              <w:tabs>
                <w:tab w:val="left" w:pos="11895"/>
              </w:tabs>
              <w:jc w:val="both"/>
            </w:pPr>
            <w:r>
              <w:t>Укрепле</w:t>
            </w:r>
            <w:r w:rsidR="004E4AE8">
              <w:t>ние материально-технической базы</w:t>
            </w:r>
            <w:r>
              <w:t xml:space="preserve"> учреждений дополнительного образования в сфере культуры</w:t>
            </w:r>
          </w:p>
        </w:tc>
        <w:tc>
          <w:tcPr>
            <w:tcW w:w="9141" w:type="dxa"/>
            <w:gridSpan w:val="2"/>
          </w:tcPr>
          <w:p w:rsidR="0023607D" w:rsidRDefault="0023607D" w:rsidP="0023607D">
            <w:pPr>
              <w:tabs>
                <w:tab w:val="left" w:pos="11895"/>
              </w:tabs>
              <w:jc w:val="both"/>
            </w:pPr>
            <w:r>
              <w:t>В рамках реализации Федерального проекта «Культурная среда» нацпроекта «Культура» в Детскую музыкальную школу пос. Николаевка  поступило пианино (российского производителя)</w:t>
            </w:r>
          </w:p>
          <w:p w:rsidR="00663647" w:rsidRPr="00C459F7" w:rsidRDefault="00663647" w:rsidP="00E31AD3">
            <w:pPr>
              <w:tabs>
                <w:tab w:val="left" w:pos="11895"/>
              </w:tabs>
              <w:jc w:val="both"/>
            </w:pP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B4621E">
            <w:pPr>
              <w:tabs>
                <w:tab w:val="left" w:pos="11895"/>
              </w:tabs>
              <w:jc w:val="center"/>
            </w:pPr>
            <w:r w:rsidRPr="00D957B9">
              <w:lastRenderedPageBreak/>
              <w:t>2.2.Расширение услуг в сфере культуры, дополнительного образования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C00575">
            <w:pPr>
              <w:tabs>
                <w:tab w:val="left" w:pos="11895"/>
              </w:tabs>
              <w:jc w:val="center"/>
            </w:pPr>
            <w:r w:rsidRPr="00D957B9">
              <w:t>2.3.Создание условий для развития традиционного народного художественного творчества</w:t>
            </w:r>
          </w:p>
        </w:tc>
      </w:tr>
      <w:tr w:rsidR="004E4AE8" w:rsidRPr="00C459F7" w:rsidTr="0050597C">
        <w:trPr>
          <w:trHeight w:val="180"/>
        </w:trPr>
        <w:tc>
          <w:tcPr>
            <w:tcW w:w="851" w:type="dxa"/>
            <w:gridSpan w:val="2"/>
          </w:tcPr>
          <w:p w:rsidR="004E4AE8" w:rsidRPr="00C459F7" w:rsidRDefault="004E4AE8" w:rsidP="00E32205">
            <w:pPr>
              <w:tabs>
                <w:tab w:val="left" w:pos="11895"/>
              </w:tabs>
              <w:jc w:val="center"/>
            </w:pPr>
            <w:r w:rsidRPr="00C459F7">
              <w:t>2.3.1.</w:t>
            </w:r>
          </w:p>
        </w:tc>
        <w:tc>
          <w:tcPr>
            <w:tcW w:w="4892" w:type="dxa"/>
          </w:tcPr>
          <w:p w:rsidR="004E4AE8" w:rsidRPr="00D957B9" w:rsidRDefault="004E4AE8" w:rsidP="006D57E6">
            <w:pPr>
              <w:tabs>
                <w:tab w:val="left" w:pos="11895"/>
              </w:tabs>
              <w:jc w:val="both"/>
            </w:pPr>
            <w:r w:rsidRPr="00D957B9">
              <w:t>Проведение районных фестивалей, конкурсов, празднико</w:t>
            </w:r>
            <w:r>
              <w:t>в</w:t>
            </w:r>
          </w:p>
        </w:tc>
        <w:tc>
          <w:tcPr>
            <w:tcW w:w="9141" w:type="dxa"/>
            <w:gridSpan w:val="2"/>
          </w:tcPr>
          <w:p w:rsidR="004E4AE8" w:rsidRPr="0023607D" w:rsidRDefault="004E4AE8" w:rsidP="002360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3 квартале мероприятия не проводились</w:t>
            </w:r>
          </w:p>
        </w:tc>
      </w:tr>
      <w:tr w:rsidR="004E4AE8" w:rsidRPr="00C459F7" w:rsidTr="0023607D">
        <w:trPr>
          <w:trHeight w:val="228"/>
        </w:trPr>
        <w:tc>
          <w:tcPr>
            <w:tcW w:w="851" w:type="dxa"/>
            <w:gridSpan w:val="2"/>
          </w:tcPr>
          <w:p w:rsidR="004E4AE8" w:rsidRPr="00C459F7" w:rsidRDefault="004E4AE8" w:rsidP="00E32205">
            <w:pPr>
              <w:tabs>
                <w:tab w:val="left" w:pos="11895"/>
              </w:tabs>
              <w:jc w:val="center"/>
            </w:pPr>
            <w:r w:rsidRPr="00C459F7">
              <w:t>2.3.2.</w:t>
            </w:r>
          </w:p>
        </w:tc>
        <w:tc>
          <w:tcPr>
            <w:tcW w:w="4892" w:type="dxa"/>
          </w:tcPr>
          <w:p w:rsidR="004E4AE8" w:rsidRPr="00D957B9" w:rsidRDefault="004E4AE8" w:rsidP="006D57E6">
            <w:pPr>
              <w:tabs>
                <w:tab w:val="left" w:pos="11895"/>
              </w:tabs>
              <w:jc w:val="both"/>
            </w:pPr>
            <w:r w:rsidRPr="00D957B9">
              <w:t>Участие творческих коллективов в областных, региональных, международных конкурсах, фестивалях, праздниках</w:t>
            </w:r>
          </w:p>
        </w:tc>
        <w:tc>
          <w:tcPr>
            <w:tcW w:w="9141" w:type="dxa"/>
            <w:gridSpan w:val="2"/>
          </w:tcPr>
          <w:p w:rsidR="004E4AE8" w:rsidRDefault="004E4AE8" w:rsidP="00E31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3607D">
              <w:rPr>
                <w:szCs w:val="28"/>
              </w:rPr>
              <w:t>20 июля творческая делегация Смидовичского муниципального района приняла участие в Арт - проекте «Вечерний Биробиджан»  и представила  жителям и гостям города Биробиджана концертную программу «Юбилейная мозаика», посвященную  празднованию  85-летия со дня образования ЕАО и Смидовичского района</w:t>
            </w:r>
            <w:r>
              <w:rPr>
                <w:szCs w:val="28"/>
              </w:rPr>
              <w:t>.</w:t>
            </w:r>
          </w:p>
          <w:p w:rsidR="004E4AE8" w:rsidRPr="00F25C52" w:rsidRDefault="004E4AE8" w:rsidP="004E4AE8">
            <w:pPr>
              <w:jc w:val="both"/>
            </w:pPr>
            <w:r>
              <w:rPr>
                <w:szCs w:val="28"/>
              </w:rPr>
              <w:t>- Образцовый эстрадно-духовой о</w:t>
            </w:r>
            <w:r w:rsidRPr="004B6D1B">
              <w:rPr>
                <w:szCs w:val="28"/>
              </w:rPr>
              <w:t xml:space="preserve">ркестр детской школы искусств </w:t>
            </w:r>
            <w:r>
              <w:rPr>
                <w:szCs w:val="28"/>
              </w:rPr>
              <w:t>пос. Смидович принял участие во</w:t>
            </w:r>
            <w:r w:rsidRPr="004B6D1B">
              <w:rPr>
                <w:szCs w:val="28"/>
              </w:rPr>
              <w:t xml:space="preserve"> </w:t>
            </w:r>
            <w:r>
              <w:rPr>
                <w:szCs w:val="28"/>
              </w:rPr>
              <w:t>Всероссийском  фестивале</w:t>
            </w:r>
            <w:r w:rsidRPr="0023607D">
              <w:rPr>
                <w:szCs w:val="28"/>
              </w:rPr>
              <w:t xml:space="preserve"> - конкурс</w:t>
            </w:r>
            <w:r>
              <w:rPr>
                <w:szCs w:val="28"/>
              </w:rPr>
              <w:t>е</w:t>
            </w:r>
            <w:r w:rsidRPr="0023607D">
              <w:rPr>
                <w:szCs w:val="28"/>
              </w:rPr>
              <w:t xml:space="preserve"> детских духовых оркестров «Дальневосточные фанфары»</w:t>
            </w:r>
            <w:r>
              <w:rPr>
                <w:sz w:val="28"/>
                <w:szCs w:val="28"/>
              </w:rPr>
              <w:t xml:space="preserve">, </w:t>
            </w:r>
            <w:r w:rsidRPr="004B6D1B">
              <w:t>который проводился во Всероссийском детском центре «Океан» с 4 по   24 сентября</w:t>
            </w:r>
            <w:r>
              <w:t xml:space="preserve"> и стал участником  гала - концерта фестиваля 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4544EC">
            <w:pPr>
              <w:tabs>
                <w:tab w:val="left" w:pos="11895"/>
              </w:tabs>
              <w:jc w:val="center"/>
            </w:pPr>
            <w:r w:rsidRPr="00D957B9">
              <w:t>2.4. Повышение профессионального уровня работников культуры</w:t>
            </w:r>
          </w:p>
        </w:tc>
      </w:tr>
      <w:tr w:rsidR="004E4AE8" w:rsidRPr="00C459F7" w:rsidTr="0050597C">
        <w:trPr>
          <w:trHeight w:val="180"/>
        </w:trPr>
        <w:tc>
          <w:tcPr>
            <w:tcW w:w="851" w:type="dxa"/>
            <w:gridSpan w:val="2"/>
          </w:tcPr>
          <w:p w:rsidR="004E4AE8" w:rsidRPr="00C459F7" w:rsidRDefault="004E4AE8" w:rsidP="00E32205">
            <w:pPr>
              <w:tabs>
                <w:tab w:val="left" w:pos="11895"/>
              </w:tabs>
              <w:jc w:val="center"/>
            </w:pPr>
            <w:r w:rsidRPr="00C459F7">
              <w:t>2.4.1.</w:t>
            </w:r>
          </w:p>
        </w:tc>
        <w:tc>
          <w:tcPr>
            <w:tcW w:w="4892" w:type="dxa"/>
          </w:tcPr>
          <w:p w:rsidR="004E4AE8" w:rsidRPr="00D957B9" w:rsidRDefault="004E4AE8" w:rsidP="006D57E6">
            <w:pPr>
              <w:tabs>
                <w:tab w:val="left" w:pos="11895"/>
              </w:tabs>
              <w:jc w:val="both"/>
            </w:pPr>
            <w:r w:rsidRPr="00D957B9">
              <w:t>Организация обучения на курсах повышения квалификации работников культуры</w:t>
            </w:r>
          </w:p>
        </w:tc>
        <w:tc>
          <w:tcPr>
            <w:tcW w:w="9141" w:type="dxa"/>
            <w:gridSpan w:val="2"/>
          </w:tcPr>
          <w:p w:rsidR="004E4AE8" w:rsidRDefault="004E4AE8" w:rsidP="002E311A">
            <w:pPr>
              <w:tabs>
                <w:tab w:val="left" w:pos="11895"/>
              </w:tabs>
              <w:jc w:val="both"/>
            </w:pPr>
            <w:r>
              <w:t>В 3 квартале работники культуры и дополнительного образования курсы повышения квалификации не проходили</w:t>
            </w:r>
          </w:p>
        </w:tc>
      </w:tr>
      <w:tr w:rsidR="004E4AE8" w:rsidRPr="00C459F7" w:rsidTr="004B6D1B">
        <w:trPr>
          <w:trHeight w:val="411"/>
        </w:trPr>
        <w:tc>
          <w:tcPr>
            <w:tcW w:w="851" w:type="dxa"/>
            <w:gridSpan w:val="2"/>
          </w:tcPr>
          <w:p w:rsidR="004E4AE8" w:rsidRPr="00C459F7" w:rsidRDefault="004E4AE8" w:rsidP="00E32205">
            <w:pPr>
              <w:tabs>
                <w:tab w:val="left" w:pos="11895"/>
              </w:tabs>
              <w:jc w:val="center"/>
            </w:pPr>
            <w:r w:rsidRPr="009164C0">
              <w:t>2.4.3.</w:t>
            </w:r>
          </w:p>
        </w:tc>
        <w:tc>
          <w:tcPr>
            <w:tcW w:w="4892" w:type="dxa"/>
          </w:tcPr>
          <w:p w:rsidR="004E4AE8" w:rsidRPr="00D957B9" w:rsidRDefault="004E4AE8" w:rsidP="006D57E6">
            <w:pPr>
              <w:tabs>
                <w:tab w:val="left" w:pos="11895"/>
              </w:tabs>
              <w:jc w:val="both"/>
            </w:pPr>
            <w:r w:rsidRPr="00D957B9">
              <w:t>Организация муниципальных конкурсов профессионального мастерства работников культуры</w:t>
            </w:r>
          </w:p>
        </w:tc>
        <w:tc>
          <w:tcPr>
            <w:tcW w:w="9141" w:type="dxa"/>
            <w:gridSpan w:val="2"/>
          </w:tcPr>
          <w:p w:rsidR="004E4AE8" w:rsidRDefault="004E4AE8" w:rsidP="002E311A">
            <w:pPr>
              <w:jc w:val="both"/>
            </w:pPr>
            <w:r>
              <w:t>В 3 квартале мероприятия не проводились</w:t>
            </w:r>
          </w:p>
        </w:tc>
      </w:tr>
      <w:tr w:rsidR="00663647" w:rsidRPr="00C459F7" w:rsidTr="0050597C">
        <w:trPr>
          <w:trHeight w:val="180"/>
        </w:trPr>
        <w:tc>
          <w:tcPr>
            <w:tcW w:w="14884" w:type="dxa"/>
            <w:gridSpan w:val="5"/>
          </w:tcPr>
          <w:p w:rsidR="00663647" w:rsidRPr="00D957B9" w:rsidRDefault="00663647" w:rsidP="001018BB">
            <w:pPr>
              <w:tabs>
                <w:tab w:val="left" w:pos="11895"/>
              </w:tabs>
              <w:jc w:val="center"/>
            </w:pPr>
            <w:r w:rsidRPr="00D957B9">
              <w:t>2.5. Гражданская активность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2.5.2</w:t>
            </w:r>
          </w:p>
        </w:tc>
        <w:tc>
          <w:tcPr>
            <w:tcW w:w="4892" w:type="dxa"/>
          </w:tcPr>
          <w:p w:rsidR="00663647" w:rsidRPr="00FE78BE" w:rsidRDefault="00981F7F" w:rsidP="00E32205">
            <w:pPr>
              <w:tabs>
                <w:tab w:val="left" w:pos="11895"/>
              </w:tabs>
              <w:jc w:val="both"/>
            </w:pPr>
            <w:r w:rsidRPr="00FE78BE">
              <w:t>Конкурс общественных инициатив по благоустройству дворовых территорий</w:t>
            </w:r>
          </w:p>
        </w:tc>
        <w:tc>
          <w:tcPr>
            <w:tcW w:w="9141" w:type="dxa"/>
            <w:gridSpan w:val="2"/>
            <w:vMerge w:val="restart"/>
          </w:tcPr>
          <w:p w:rsidR="00663647" w:rsidRPr="005E5C83" w:rsidRDefault="00981F7F" w:rsidP="00FE78BE">
            <w:pPr>
              <w:jc w:val="both"/>
              <w:rPr>
                <w:highlight w:val="yellow"/>
              </w:rPr>
            </w:pPr>
            <w:r w:rsidRPr="00874AE4">
              <w:t>Информация не предоставлена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>
              <w:t>2.5.3.</w:t>
            </w:r>
          </w:p>
        </w:tc>
        <w:tc>
          <w:tcPr>
            <w:tcW w:w="4892" w:type="dxa"/>
          </w:tcPr>
          <w:p w:rsidR="00663647" w:rsidRPr="00FE78BE" w:rsidRDefault="00981F7F" w:rsidP="00E32205">
            <w:pPr>
              <w:tabs>
                <w:tab w:val="left" w:pos="11895"/>
              </w:tabs>
              <w:jc w:val="both"/>
            </w:pPr>
            <w:r w:rsidRPr="00FE78BE">
              <w:t>Конкурс на соискание муниципального гранта муниципального образования «Смидовичский муниципальный район»</w:t>
            </w:r>
          </w:p>
        </w:tc>
        <w:tc>
          <w:tcPr>
            <w:tcW w:w="9141" w:type="dxa"/>
            <w:gridSpan w:val="2"/>
            <w:vMerge/>
          </w:tcPr>
          <w:p w:rsidR="00663647" w:rsidRPr="005E5C83" w:rsidRDefault="00663647" w:rsidP="006016B4">
            <w:pPr>
              <w:jc w:val="both"/>
              <w:rPr>
                <w:highlight w:val="yellow"/>
              </w:rPr>
            </w:pPr>
          </w:p>
        </w:tc>
      </w:tr>
      <w:tr w:rsidR="00663647" w:rsidRPr="00C459F7" w:rsidTr="0050597C">
        <w:trPr>
          <w:trHeight w:val="342"/>
        </w:trPr>
        <w:tc>
          <w:tcPr>
            <w:tcW w:w="14884" w:type="dxa"/>
            <w:gridSpan w:val="5"/>
          </w:tcPr>
          <w:p w:rsidR="00663647" w:rsidRPr="00D957B9" w:rsidRDefault="00663647" w:rsidP="001018BB">
            <w:pPr>
              <w:tabs>
                <w:tab w:val="left" w:pos="11895"/>
              </w:tabs>
              <w:jc w:val="center"/>
            </w:pPr>
            <w:r w:rsidRPr="00D957B9">
              <w:t>2.6.Молодежная политика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2.6.1</w:t>
            </w:r>
          </w:p>
        </w:tc>
        <w:tc>
          <w:tcPr>
            <w:tcW w:w="4892" w:type="dxa"/>
          </w:tcPr>
          <w:p w:rsidR="00981F7F" w:rsidRPr="00D957B9" w:rsidRDefault="00981F7F" w:rsidP="00981F7F">
            <w:pPr>
              <w:tabs>
                <w:tab w:val="left" w:pos="11895"/>
              </w:tabs>
              <w:jc w:val="both"/>
            </w:pPr>
            <w:r w:rsidRPr="00D957B9">
              <w:t>Привлечение и закрепление молодых специалистов в муниципальное образование (в том числе из выпускников школ):</w:t>
            </w:r>
          </w:p>
          <w:p w:rsidR="00663647" w:rsidRPr="00D957B9" w:rsidRDefault="00663647" w:rsidP="00C63263">
            <w:pPr>
              <w:tabs>
                <w:tab w:val="left" w:pos="11895"/>
              </w:tabs>
              <w:jc w:val="both"/>
            </w:pPr>
          </w:p>
        </w:tc>
        <w:tc>
          <w:tcPr>
            <w:tcW w:w="9141" w:type="dxa"/>
            <w:gridSpan w:val="2"/>
          </w:tcPr>
          <w:p w:rsidR="00663647" w:rsidRPr="003B5019" w:rsidRDefault="003B5019" w:rsidP="003B5019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CD0752">
              <w:rPr>
                <w:rFonts w:eastAsia="Calibri"/>
                <w:color w:val="000000"/>
                <w:szCs w:val="28"/>
                <w:lang w:eastAsia="en-US"/>
              </w:rPr>
              <w:t xml:space="preserve">С целью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привлечения и закрепления молодых специалистов </w:t>
            </w:r>
            <w:r w:rsidRPr="00CD0752">
              <w:rPr>
                <w:rFonts w:eastAsia="Calibri"/>
                <w:color w:val="000000"/>
                <w:szCs w:val="28"/>
                <w:lang w:eastAsia="en-US"/>
              </w:rPr>
              <w:t>продолжается работа по реализации подпрограммы «Обеспечение жильем молодых семей» фе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деральной программы «Жилище». В</w:t>
            </w:r>
            <w:r w:rsidRPr="00CD0752">
              <w:rPr>
                <w:rFonts w:eastAsia="Calibri"/>
                <w:color w:val="000000"/>
                <w:szCs w:val="28"/>
                <w:lang w:eastAsia="en-US"/>
              </w:rPr>
              <w:t xml:space="preserve"> последние годы семьи района не становятся претендентами для получения социальных выплат на приобретение жилья. В настоящее в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ремя в списке находятся 4 семьи</w:t>
            </w:r>
          </w:p>
        </w:tc>
      </w:tr>
      <w:tr w:rsidR="00663647" w:rsidRPr="00A8296E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  <w:r w:rsidRPr="00C459F7">
              <w:t>2.6.2</w:t>
            </w:r>
          </w:p>
        </w:tc>
        <w:tc>
          <w:tcPr>
            <w:tcW w:w="4892" w:type="dxa"/>
          </w:tcPr>
          <w:p w:rsidR="00663647" w:rsidRPr="00D957B9" w:rsidRDefault="00981F7F" w:rsidP="00E32205">
            <w:pPr>
              <w:tabs>
                <w:tab w:val="left" w:pos="11895"/>
              </w:tabs>
              <w:jc w:val="both"/>
            </w:pPr>
            <w:r w:rsidRPr="00D957B9">
              <w:t xml:space="preserve">Содействие развитию общечеловеческих ценностей. Воспитание патриотизма, толерантности, уважения к истории села, </w:t>
            </w:r>
            <w:r w:rsidRPr="00D957B9">
              <w:lastRenderedPageBreak/>
              <w:t>района, области, России. Профилактика экстремизма в молодежной среде. Формирование здорового образа жизни. Организация досуга</w:t>
            </w:r>
          </w:p>
        </w:tc>
        <w:tc>
          <w:tcPr>
            <w:tcW w:w="9141" w:type="dxa"/>
            <w:gridSpan w:val="2"/>
          </w:tcPr>
          <w:p w:rsidR="00663647" w:rsidRPr="00A8296E" w:rsidRDefault="003B5019" w:rsidP="004238F4">
            <w:pPr>
              <w:jc w:val="both"/>
              <w:rPr>
                <w:b/>
              </w:rPr>
            </w:pPr>
            <w:r w:rsidRPr="003B5019">
              <w:rPr>
                <w:rFonts w:eastAsia="Calibri"/>
                <w:lang w:eastAsia="en-US"/>
              </w:rPr>
              <w:lastRenderedPageBreak/>
              <w:t xml:space="preserve">18-19 сентября ребята школы № 3 поселка Смидович приняли участие в областном Слёте Всероссийского детско-юношеского военно-патриотического общественного движения «ЮНАРМИЯ», который проходил в городе Биробиджане на базе летнего </w:t>
            </w:r>
            <w:r w:rsidRPr="003B5019">
              <w:rPr>
                <w:rFonts w:eastAsia="Calibri"/>
                <w:lang w:eastAsia="en-US"/>
              </w:rPr>
              <w:lastRenderedPageBreak/>
              <w:t>оздоровительного лагеря «Юнаты». Для ребят были организованы показательные выступления военнослужащих, демонстрация вооружения и спецсредств, выступления кинологов, военно-спортивная эстафета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663647" w:rsidRPr="00D957B9" w:rsidRDefault="00981F7F" w:rsidP="00222B12">
            <w:pPr>
              <w:tabs>
                <w:tab w:val="left" w:pos="11895"/>
              </w:tabs>
              <w:jc w:val="both"/>
            </w:pPr>
            <w:r w:rsidRPr="00D957B9">
              <w:t>стимулирование молодежи, занятой общественной деятельностью через систему социально-значимых проектов, совершенствование деятельности добровольческих отрядов, поддержку деятельности молодежных клубных формирований, общественных организаций, инициативных групп</w:t>
            </w:r>
          </w:p>
        </w:tc>
        <w:tc>
          <w:tcPr>
            <w:tcW w:w="9141" w:type="dxa"/>
            <w:gridSpan w:val="2"/>
          </w:tcPr>
          <w:p w:rsidR="00663647" w:rsidRPr="00C459F7" w:rsidRDefault="003B5019" w:rsidP="00086C72">
            <w:pPr>
              <w:jc w:val="both"/>
            </w:pPr>
            <w:r>
              <w:t>27 июня 2019 года был проведен Конкурс «В кадре – молодёжь!», утвержденный распоряжением администрации муниципального района от 11.06.2019 № 156. Промежуточные итоги конкурса были опубликованы в газете «Районный вестник» от 28.06.2019 № 26. Конкурс был продлен до 31 июля 2019 года, но желающих поучаствовать в конкурсе не было</w:t>
            </w:r>
          </w:p>
        </w:tc>
      </w:tr>
      <w:tr w:rsidR="00663647" w:rsidRPr="00C459F7" w:rsidTr="0050597C">
        <w:trPr>
          <w:trHeight w:val="180"/>
        </w:trPr>
        <w:tc>
          <w:tcPr>
            <w:tcW w:w="851" w:type="dxa"/>
            <w:gridSpan w:val="2"/>
          </w:tcPr>
          <w:p w:rsidR="00663647" w:rsidRPr="00C459F7" w:rsidRDefault="00663647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663647" w:rsidRPr="00D957B9" w:rsidRDefault="00981F7F" w:rsidP="00E55268">
            <w:pPr>
              <w:tabs>
                <w:tab w:val="left" w:pos="11895"/>
              </w:tabs>
              <w:jc w:val="both"/>
            </w:pPr>
            <w:r w:rsidRPr="00D957B9">
              <w:t>- организация мероприятий межпоселенческого характера (конкурсов, форумов, слетов, загородных лагерей, акций и др.)</w:t>
            </w:r>
          </w:p>
        </w:tc>
        <w:tc>
          <w:tcPr>
            <w:tcW w:w="9141" w:type="dxa"/>
            <w:gridSpan w:val="2"/>
          </w:tcPr>
          <w:p w:rsidR="00663647" w:rsidRPr="003B5019" w:rsidRDefault="003B5019" w:rsidP="003B5019">
            <w:pPr>
              <w:jc w:val="both"/>
              <w:rPr>
                <w:color w:val="000000"/>
              </w:rPr>
            </w:pPr>
            <w:r>
              <w:t xml:space="preserve">6 июля в честь празднования Дня семьи, любви и верности на торжественных  мероприятиях в городских и сельских поселениях муниципального района прошло награждение семей грамотами и медалями «За любовь и верность». </w:t>
            </w:r>
            <w:r w:rsidRPr="00AD10C3">
              <w:rPr>
                <w:color w:val="000000"/>
              </w:rPr>
              <w:t>В этот же день были награждены памятными дипломами и подарками три семьи – победители муниципального этапа Всероссийского конкурса «Семья года – 2019», это семья Беркетовых из села Партизанского в номинации «Молодая семья», семья Мясоед из посёлка Волочаевка-2 в номинации «Многодетная семья», а также претенденты на звание «Семья года – 20</w:t>
            </w:r>
            <w:r>
              <w:rPr>
                <w:color w:val="000000"/>
              </w:rPr>
              <w:t>19», победители муниципального и</w:t>
            </w:r>
            <w:r w:rsidRPr="00AD10C3">
              <w:rPr>
                <w:color w:val="000000"/>
              </w:rPr>
              <w:t xml:space="preserve"> регионального этапов конкурса в номинации «Сельская семья» - </w:t>
            </w:r>
            <w:r>
              <w:rPr>
                <w:color w:val="000000"/>
              </w:rPr>
              <w:t>семья Бывшевых и села Камышовки. По итогам Всероссийского конкурса «Семья года – 2019» в номинации «Сельская семья» победителями стали Бывшевы Ирина и Андрей из село Камышовки</w:t>
            </w:r>
          </w:p>
        </w:tc>
      </w:tr>
      <w:tr w:rsidR="00981F7F" w:rsidRPr="00C459F7" w:rsidTr="003B5019">
        <w:trPr>
          <w:trHeight w:val="1281"/>
        </w:trPr>
        <w:tc>
          <w:tcPr>
            <w:tcW w:w="851" w:type="dxa"/>
            <w:gridSpan w:val="2"/>
          </w:tcPr>
          <w:p w:rsidR="00981F7F" w:rsidRPr="00C459F7" w:rsidRDefault="00981F7F" w:rsidP="00E32205">
            <w:pPr>
              <w:tabs>
                <w:tab w:val="left" w:pos="11895"/>
              </w:tabs>
              <w:jc w:val="center"/>
            </w:pPr>
            <w:r w:rsidRPr="00C459F7">
              <w:t>2.6.3</w:t>
            </w:r>
          </w:p>
        </w:tc>
        <w:tc>
          <w:tcPr>
            <w:tcW w:w="4892" w:type="dxa"/>
          </w:tcPr>
          <w:p w:rsidR="00981F7F" w:rsidRPr="00D957B9" w:rsidRDefault="00981F7F" w:rsidP="00981F7F">
            <w:pPr>
              <w:tabs>
                <w:tab w:val="left" w:pos="11895"/>
              </w:tabs>
              <w:jc w:val="both"/>
            </w:pPr>
            <w:r w:rsidRPr="00D957B9">
              <w:t xml:space="preserve">Совершенствование работы по профилактике социального неблагополучия. Работа с молодой семьей: </w:t>
            </w:r>
          </w:p>
          <w:p w:rsidR="00981F7F" w:rsidRPr="00D957B9" w:rsidRDefault="00981F7F" w:rsidP="00981F7F">
            <w:pPr>
              <w:tabs>
                <w:tab w:val="left" w:pos="11895"/>
              </w:tabs>
              <w:jc w:val="both"/>
            </w:pPr>
          </w:p>
          <w:p w:rsidR="00981F7F" w:rsidRPr="00D957B9" w:rsidRDefault="00981F7F" w:rsidP="00981F7F">
            <w:pPr>
              <w:tabs>
                <w:tab w:val="left" w:pos="11895"/>
              </w:tabs>
              <w:jc w:val="both"/>
            </w:pPr>
            <w:r w:rsidRPr="00D957B9">
              <w:t>- расширить практику привлечения социальных служб на территории муниципального района с целью психологической поддержки молодежи</w:t>
            </w:r>
          </w:p>
        </w:tc>
        <w:tc>
          <w:tcPr>
            <w:tcW w:w="9141" w:type="dxa"/>
            <w:gridSpan w:val="2"/>
          </w:tcPr>
          <w:p w:rsidR="003B5019" w:rsidRPr="0005664D" w:rsidRDefault="003B5019" w:rsidP="003B5019">
            <w:pPr>
              <w:pBdr>
                <w:top w:val="single" w:sz="4" w:space="0" w:color="FFFFFF"/>
                <w:left w:val="single" w:sz="4" w:space="0" w:color="FFFFFF"/>
                <w:bottom w:val="single" w:sz="4" w:space="29" w:color="FFFFFF"/>
                <w:right w:val="single" w:sz="4" w:space="4" w:color="FFFFFF"/>
              </w:pBdr>
              <w:contextualSpacing/>
              <w:jc w:val="both"/>
            </w:pPr>
            <w:r>
              <w:t xml:space="preserve">В </w:t>
            </w:r>
            <w:r>
              <w:rPr>
                <w:lang w:val="en-US"/>
              </w:rPr>
              <w:t>III</w:t>
            </w:r>
            <w:r w:rsidRPr="0005664D">
              <w:t xml:space="preserve"> </w:t>
            </w:r>
            <w:r>
              <w:t>квартале</w:t>
            </w:r>
            <w:r w:rsidRPr="0005664D">
              <w:t xml:space="preserve"> 2019 года </w:t>
            </w:r>
            <w:r>
              <w:t>отделом по делам семьи и молодежи принято участие в</w:t>
            </w:r>
            <w:r w:rsidRPr="0005664D">
              <w:t xml:space="preserve"> </w:t>
            </w:r>
            <w:r>
              <w:t xml:space="preserve">трех </w:t>
            </w:r>
            <w:r w:rsidRPr="0005664D">
              <w:t>межведомственных рейд</w:t>
            </w:r>
            <w:r>
              <w:t xml:space="preserve">овых мероприятиях. </w:t>
            </w:r>
            <w:r w:rsidRPr="0005664D">
              <w:t>Отдел по делам семьи и молодежи, являясь субъектом профилактики, систематически участвует в работе комиссии по делам несовершеннолетних и защите их прав. На заседаниях комиссии заслушивается информация о состоянии преступности среди несовершеннолетних, решениями которой определяются основные направления в деятельности субъектов системы профилактики в целях дальнейшей активной работы с семьями несовершеннолетних.</w:t>
            </w:r>
          </w:p>
          <w:p w:rsidR="00981F7F" w:rsidRPr="00C459F7" w:rsidRDefault="003B5019" w:rsidP="003B5019">
            <w:pPr>
              <w:pBdr>
                <w:top w:val="single" w:sz="4" w:space="0" w:color="FFFFFF"/>
                <w:left w:val="single" w:sz="4" w:space="0" w:color="FFFFFF"/>
                <w:bottom w:val="single" w:sz="4" w:space="29" w:color="FFFFFF"/>
                <w:right w:val="single" w:sz="4" w:space="4" w:color="FFFFFF"/>
              </w:pBdr>
              <w:contextualSpacing/>
              <w:jc w:val="both"/>
            </w:pPr>
            <w:r>
              <w:t>С несовершеннолетними проводятся</w:t>
            </w:r>
            <w:r w:rsidRPr="0005664D">
              <w:t xml:space="preserve"> профилактические беседы: о профилактике правонарушений среди несовершеннолетних и в отношении их; о необходимости получения, как основного общего образ</w:t>
            </w:r>
            <w:r>
              <w:t>ования, так и профессионального</w:t>
            </w:r>
            <w:r w:rsidRPr="0005664D">
              <w:t>.</w:t>
            </w:r>
            <w:r>
              <w:t xml:space="preserve"> </w:t>
            </w:r>
            <w:r w:rsidRPr="0005664D">
              <w:t>С законными представителями несовершеннолетних (родителями, опекунами) проводятся профилактические беседы о надлежащем исполнении своих родительских обязанностей по воспитанию и содержанию несовершеннолетних детей, об осуществлении контроля за их времяпровождением, особенно в вечернее время, занятиями досуг</w:t>
            </w:r>
            <w:r>
              <w:t xml:space="preserve">овой и внеурочной деятельностью. 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- проведение Рождественской елки главы муниципального района для детей из малообеспеченных семей</w:t>
            </w:r>
          </w:p>
        </w:tc>
        <w:tc>
          <w:tcPr>
            <w:tcW w:w="9141" w:type="dxa"/>
            <w:gridSpan w:val="2"/>
          </w:tcPr>
          <w:p w:rsidR="003B5019" w:rsidRPr="00C459F7" w:rsidRDefault="003B5019" w:rsidP="009653FC">
            <w:pPr>
              <w:tabs>
                <w:tab w:val="left" w:pos="11895"/>
              </w:tabs>
              <w:jc w:val="both"/>
            </w:pPr>
            <w:r>
              <w:t>Новогодняя елка главы муниципального района запланирована на декабрь 2019 года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2.6.4</w:t>
            </w: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Повышение престижа благополучной семьи</w:t>
            </w:r>
          </w:p>
        </w:tc>
        <w:tc>
          <w:tcPr>
            <w:tcW w:w="9141" w:type="dxa"/>
            <w:gridSpan w:val="2"/>
          </w:tcPr>
          <w:p w:rsidR="003B5019" w:rsidRPr="00C459F7" w:rsidRDefault="003B5019" w:rsidP="00E32205">
            <w:pPr>
              <w:jc w:val="both"/>
            </w:pP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расширение форм работы по поддержке матерей, достойно воспитывающих своих детей (организация приемов лучших матерей, женщин, активно участвующих в жизни района, проведение районных семейных форумов, семейных конкурсов, спортивных соревнований), чествование семей – юбиляров</w:t>
            </w:r>
          </w:p>
        </w:tc>
        <w:tc>
          <w:tcPr>
            <w:tcW w:w="9141" w:type="dxa"/>
            <w:gridSpan w:val="2"/>
          </w:tcPr>
          <w:p w:rsidR="003B5019" w:rsidRDefault="003B5019" w:rsidP="003B5019">
            <w:pPr>
              <w:tabs>
                <w:tab w:val="left" w:pos="11895"/>
              </w:tabs>
              <w:jc w:val="both"/>
            </w:pPr>
            <w:r>
              <w:t>5 марта 2019 года был проведен торжественный приём главы муниципального района женщин, внесших вклад в социально-экономическое развитие Смидовичского района, приуроченный к 85-летию Смидовичского района. В торжественном мероприятии приняли участие 16 женщин.</w:t>
            </w:r>
          </w:p>
          <w:p w:rsidR="003B5019" w:rsidRDefault="003B5019" w:rsidP="003B5019">
            <w:pPr>
              <w:tabs>
                <w:tab w:val="left" w:pos="11895"/>
              </w:tabs>
              <w:jc w:val="both"/>
            </w:pPr>
            <w:r>
              <w:t>22 ноября текущего года запланировано проведение торжественного приёма главы муниципального района, посвященного Дню Матери</w:t>
            </w:r>
          </w:p>
          <w:p w:rsidR="003B5019" w:rsidRPr="00C459F7" w:rsidRDefault="003B5019" w:rsidP="00C63263">
            <w:pPr>
              <w:tabs>
                <w:tab w:val="left" w:pos="11895"/>
              </w:tabs>
              <w:jc w:val="both"/>
            </w:pP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2.6.5</w:t>
            </w: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Развитие системы информационного обеспечения молодежи. Проведение информационно-аналитического поиска решения молодежных проблем</w:t>
            </w:r>
          </w:p>
        </w:tc>
        <w:tc>
          <w:tcPr>
            <w:tcW w:w="9141" w:type="dxa"/>
            <w:gridSpan w:val="2"/>
            <w:vMerge w:val="restart"/>
          </w:tcPr>
          <w:p w:rsidR="003B5019" w:rsidRDefault="003B5019" w:rsidP="003B5019">
            <w:pPr>
              <w:tabs>
                <w:tab w:val="left" w:pos="1189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По итогам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квартала 2019 года отделом по делам семьи и молодежи была подготовлена информация для размещения на сайте муниципального района «О поддержке талантливой молодежи», об участии в антинаркотическом марафоне, о проведении районного слёта допризывной молодёжи, об организации акций в преддверии празднования 74-ой годовщины Победы в Великой Отечественной войне, об организации мероприятий по чествованию семей района, в честь празднования Дня семьи, любви и верности. Размещена информация о работе волонтерского корпуса «Цунами добра», а также информации по участию </w:t>
            </w:r>
            <w:r w:rsidRPr="00956C7E">
              <w:rPr>
                <w:shd w:val="clear" w:color="auto" w:fill="FFFFFF"/>
              </w:rPr>
              <w:t>гражд</w:t>
            </w:r>
            <w:r>
              <w:rPr>
                <w:shd w:val="clear" w:color="auto" w:fill="FFFFFF"/>
              </w:rPr>
              <w:t>ан</w:t>
            </w:r>
            <w:r w:rsidRPr="00956C7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района</w:t>
            </w:r>
            <w:r w:rsidRPr="00956C7E">
              <w:rPr>
                <w:shd w:val="clear" w:color="auto" w:fill="FFFFFF"/>
              </w:rPr>
              <w:t xml:space="preserve"> независимо от</w:t>
            </w:r>
            <w:r>
              <w:rPr>
                <w:shd w:val="clear" w:color="auto" w:fill="FFFFFF"/>
              </w:rPr>
              <w:t xml:space="preserve"> возраста, пола, </w:t>
            </w:r>
            <w:r w:rsidRPr="00956C7E">
              <w:rPr>
                <w:shd w:val="clear" w:color="auto" w:fill="FFFFFF"/>
              </w:rPr>
              <w:t>должностного положения, принадлежности к общественным объединениям, а также других обстоятельст</w:t>
            </w:r>
            <w:r w:rsidRPr="00956C7E">
              <w:rPr>
                <w:bCs/>
              </w:rPr>
              <w:t xml:space="preserve">в </w:t>
            </w:r>
            <w:r>
              <w:rPr>
                <w:bCs/>
              </w:rPr>
              <w:t>в областных и региональных творческих конкурсах.</w:t>
            </w:r>
          </w:p>
          <w:p w:rsidR="003B5019" w:rsidRPr="00C459F7" w:rsidRDefault="003B5019" w:rsidP="003B5019">
            <w:pPr>
              <w:tabs>
                <w:tab w:val="left" w:pos="11895"/>
              </w:tabs>
              <w:jc w:val="both"/>
            </w:pPr>
            <w:r>
              <w:rPr>
                <w:bCs/>
              </w:rPr>
              <w:t>В № 6 от 08.02.2019 года и № 26 от 28.06.2019 года периодичного печатного издания «Районный Вестник» вышел выпуск молодежной страницы «Я»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D957B9" w:rsidRDefault="003B5019" w:rsidP="0026657F">
            <w:pPr>
              <w:tabs>
                <w:tab w:val="left" w:pos="11895"/>
              </w:tabs>
              <w:jc w:val="both"/>
            </w:pPr>
            <w:r w:rsidRPr="00D957B9">
              <w:t>- расширение форм работы по работе молодежного печатного органа – газеты «Я»</w:t>
            </w:r>
          </w:p>
        </w:tc>
        <w:tc>
          <w:tcPr>
            <w:tcW w:w="9141" w:type="dxa"/>
            <w:gridSpan w:val="2"/>
            <w:vMerge/>
          </w:tcPr>
          <w:p w:rsidR="003B5019" w:rsidRPr="00C459F7" w:rsidRDefault="003B5019" w:rsidP="00B6351A">
            <w:pPr>
              <w:tabs>
                <w:tab w:val="left" w:pos="11895"/>
              </w:tabs>
              <w:jc w:val="center"/>
            </w:pP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- активизация использования официального сайта Смидовичского муниципального района для информированности молодежи о формах поддержки молодежи, возможности ее участия в социально-экономической, общественно-политической жизни района</w:t>
            </w:r>
          </w:p>
        </w:tc>
        <w:tc>
          <w:tcPr>
            <w:tcW w:w="9141" w:type="dxa"/>
            <w:gridSpan w:val="2"/>
            <w:vMerge/>
          </w:tcPr>
          <w:p w:rsidR="003B5019" w:rsidRPr="00C459F7" w:rsidRDefault="003B5019" w:rsidP="00B6351A">
            <w:pPr>
              <w:tabs>
                <w:tab w:val="left" w:pos="11895"/>
              </w:tabs>
              <w:jc w:val="center"/>
            </w:pP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BA1BC8">
            <w:pPr>
              <w:tabs>
                <w:tab w:val="left" w:pos="11895"/>
              </w:tabs>
              <w:jc w:val="center"/>
            </w:pPr>
            <w:r w:rsidRPr="00D957B9">
              <w:t>2.7. Социальная политика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2.7.1</w:t>
            </w: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Организация профилактических мероприятий, направленных на сохранение здоровья социально незащищенных категорий граждан</w:t>
            </w:r>
          </w:p>
        </w:tc>
        <w:tc>
          <w:tcPr>
            <w:tcW w:w="9141" w:type="dxa"/>
            <w:gridSpan w:val="2"/>
          </w:tcPr>
          <w:p w:rsidR="003B5019" w:rsidRPr="00BD0B93" w:rsidRDefault="003B5019" w:rsidP="0095545C">
            <w:pPr>
              <w:tabs>
                <w:tab w:val="left" w:pos="11895"/>
              </w:tabs>
              <w:jc w:val="both"/>
            </w:pPr>
            <w:r w:rsidRPr="00BD0B93">
              <w:t xml:space="preserve">По итогам </w:t>
            </w:r>
            <w:r w:rsidRPr="00BD0B93">
              <w:rPr>
                <w:lang w:val="en-US"/>
              </w:rPr>
              <w:t>III</w:t>
            </w:r>
            <w:r w:rsidRPr="00BD0B93">
              <w:t xml:space="preserve"> квартала 2019 года специалистами  НИИ «Охрана материнства и детства»</w:t>
            </w:r>
            <w:r>
              <w:t xml:space="preserve"> было проведено обследование 212</w:t>
            </w:r>
            <w:r w:rsidRPr="00BD0B93">
              <w:t xml:space="preserve"> детей посёлков Николаевка</w:t>
            </w:r>
            <w:r>
              <w:t>, Смидовича</w:t>
            </w:r>
            <w:r w:rsidRPr="00BD0B93">
              <w:t xml:space="preserve"> и Волочаевка-2, сел имени Т</w:t>
            </w:r>
            <w:r>
              <w:t>ельмана, Ключевое, Волочаевка-1.</w:t>
            </w:r>
            <w:r w:rsidRPr="00BD0B93">
              <w:t xml:space="preserve"> Кардиологом Юри</w:t>
            </w:r>
            <w:r>
              <w:t>ем Федорченко проведено 68</w:t>
            </w:r>
            <w:r w:rsidRPr="00BD0B93">
              <w:t xml:space="preserve"> консультаций взрослого населения вышеперечисленных населенных пунктов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2.7.2</w:t>
            </w: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Оказание адресной социальной помощи социально-незащищенным категориям граждан, оказавшимся в трудной жизненной ситуации</w:t>
            </w:r>
          </w:p>
        </w:tc>
        <w:tc>
          <w:tcPr>
            <w:tcW w:w="9141" w:type="dxa"/>
            <w:gridSpan w:val="2"/>
          </w:tcPr>
          <w:p w:rsidR="003B5019" w:rsidRPr="00E47142" w:rsidRDefault="003B5019" w:rsidP="00BD0B93">
            <w:pPr>
              <w:jc w:val="both"/>
            </w:pPr>
            <w:r>
              <w:t>За 9 месяцев 2019 года проведено семь заседаний Комиссии по оказанию адресной социальной помощи гражданам, находящимся в трудной жизненной ситуации. Подготовлены и направлены для оплаты распоряжения на общую сумму 165121,11 рублей. Помощь оказана на восстановление утраченных документов, на приобретение теплой одежды несовершеннолетним детям, на ремонт слухового аппарата, на приобретение топлива, а также вещей первой необходимости жителям, чье имущество было полностью уничтожено в результате пожара, на приобретение канцелярских и школьных принадлежностей для подготовки детей к обучению, а также компенсации части оплаты за приобретение путевок в детские оздоровительные лагеря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>
              <w:t>2.7.3</w:t>
            </w:r>
          </w:p>
        </w:tc>
        <w:tc>
          <w:tcPr>
            <w:tcW w:w="4892" w:type="dxa"/>
          </w:tcPr>
          <w:p w:rsidR="003B5019" w:rsidRPr="00D957B9" w:rsidRDefault="003B5019" w:rsidP="00E32205">
            <w:pPr>
              <w:tabs>
                <w:tab w:val="left" w:pos="11895"/>
              </w:tabs>
              <w:jc w:val="both"/>
            </w:pPr>
            <w:r w:rsidRPr="00D957B9">
              <w:t>Содействие в летней занятости детей и подростков</w:t>
            </w:r>
          </w:p>
        </w:tc>
        <w:tc>
          <w:tcPr>
            <w:tcW w:w="9141" w:type="dxa"/>
            <w:gridSpan w:val="2"/>
          </w:tcPr>
          <w:p w:rsidR="003B5019" w:rsidRPr="00C459F7" w:rsidRDefault="003B5019" w:rsidP="00215519">
            <w:pPr>
              <w:jc w:val="both"/>
            </w:pPr>
            <w:r>
              <w:t>Работа «дворовых команд» в летний период 2019 года не была проведена по причине отсутствия финансовых средств</w:t>
            </w: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E32205">
            <w:pPr>
              <w:tabs>
                <w:tab w:val="left" w:pos="11895"/>
              </w:tabs>
              <w:jc w:val="center"/>
              <w:rPr>
                <w:b/>
                <w:bCs/>
              </w:rPr>
            </w:pPr>
            <w:r w:rsidRPr="00D957B9">
              <w:t>3. Организация комплексной работы по реализации основных направлений национальной президентской инициативы “Наша новая школа»</w:t>
            </w: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E32205">
            <w:pPr>
              <w:tabs>
                <w:tab w:val="left" w:pos="11895"/>
              </w:tabs>
              <w:jc w:val="center"/>
            </w:pPr>
            <w:r w:rsidRPr="00D957B9">
              <w:t>3.1. Переход на федеральный государственный стандарт общего образования второго поколения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3.1.1</w:t>
            </w: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Приобретение учебно-практического и лабораторного оборудования</w:t>
            </w:r>
          </w:p>
        </w:tc>
        <w:tc>
          <w:tcPr>
            <w:tcW w:w="9141" w:type="dxa"/>
            <w:gridSpan w:val="2"/>
          </w:tcPr>
          <w:p w:rsidR="003B5019" w:rsidRDefault="003B5019" w:rsidP="00CB30B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t xml:space="preserve">В третьем квартале 2019 года </w:t>
            </w:r>
            <w:r w:rsidRPr="00407C77">
              <w:t>учебно-практического и лабораторного оборудования</w:t>
            </w:r>
            <w:r>
              <w:t xml:space="preserve"> не приобреталось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3.1.2</w:t>
            </w: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Обеспечение школьников учебниками, учителей учебно-методической литературой, соответствующих федеральному государственному стандарту нового поколения</w:t>
            </w:r>
          </w:p>
        </w:tc>
        <w:tc>
          <w:tcPr>
            <w:tcW w:w="9141" w:type="dxa"/>
            <w:gridSpan w:val="2"/>
          </w:tcPr>
          <w:p w:rsidR="003B5019" w:rsidRDefault="003B5019" w:rsidP="00CB30B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t xml:space="preserve">В рамках заключенного договора на поставку </w:t>
            </w:r>
            <w:r w:rsidRPr="00407C77">
              <w:t>школьн</w:t>
            </w:r>
            <w:r>
              <w:t>ых</w:t>
            </w:r>
            <w:r w:rsidRPr="00407C77">
              <w:t xml:space="preserve"> учебник</w:t>
            </w:r>
            <w:r>
              <w:t xml:space="preserve">ов, </w:t>
            </w:r>
            <w:r w:rsidRPr="00407C77">
              <w:t>соответствующих федеральному государственному стандарту нового поколения</w:t>
            </w:r>
            <w:r>
              <w:t xml:space="preserve"> на общую сумму 1156000 рублей образовательные учреждения обеспечены школьными учебниками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3.1.3</w:t>
            </w: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Развитие учебно-воспитательной базы учреждений дополнительного образования для реализации внеурочной образовательной деятельности в рамках федерального государственного стандарта нового поколения (привлечение педагогов учреждений дополнительного образования к обеспечению неаудиторной занятости младших школьников):</w:t>
            </w:r>
          </w:p>
        </w:tc>
        <w:tc>
          <w:tcPr>
            <w:tcW w:w="9141" w:type="dxa"/>
            <w:gridSpan w:val="2"/>
            <w:vMerge w:val="restart"/>
          </w:tcPr>
          <w:p w:rsidR="003B5019" w:rsidRDefault="003B5019" w:rsidP="00CB30B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t xml:space="preserve">Во втором квартале 2019 года </w:t>
            </w:r>
            <w:r w:rsidRPr="00407C77">
              <w:t>музыкальны</w:t>
            </w:r>
            <w:r>
              <w:t>е</w:t>
            </w:r>
            <w:r w:rsidRPr="00407C77">
              <w:t xml:space="preserve"> инструмент</w:t>
            </w:r>
            <w:r>
              <w:t>ы</w:t>
            </w:r>
            <w:r w:rsidRPr="00407C77">
              <w:t>, спортивн</w:t>
            </w:r>
            <w:r>
              <w:t>ый</w:t>
            </w:r>
            <w:r w:rsidRPr="00407C77">
              <w:t xml:space="preserve"> инвентар</w:t>
            </w:r>
            <w:r>
              <w:t>ь</w:t>
            </w:r>
            <w:r w:rsidRPr="00407C77">
              <w:t>, сценически</w:t>
            </w:r>
            <w:r>
              <w:t>е</w:t>
            </w:r>
            <w:r w:rsidRPr="00407C77">
              <w:t xml:space="preserve"> костюм</w:t>
            </w:r>
            <w:r>
              <w:t>ы</w:t>
            </w:r>
            <w:r w:rsidRPr="00407C77">
              <w:t xml:space="preserve"> для Дома детского творчества п.Приамурский</w:t>
            </w:r>
            <w:r>
              <w:t xml:space="preserve">, </w:t>
            </w:r>
            <w:r w:rsidRPr="00407C77">
              <w:t>спортивн</w:t>
            </w:r>
            <w:r>
              <w:t>ый</w:t>
            </w:r>
            <w:r w:rsidRPr="00407C77">
              <w:t xml:space="preserve"> инвентар</w:t>
            </w:r>
            <w:r>
              <w:t>ь</w:t>
            </w:r>
            <w:r w:rsidRPr="00407C77">
              <w:t xml:space="preserve"> по хоккею с мячом, карате, мячи, спортивные костюмы  для Детско-юношеской спортивной школы</w:t>
            </w:r>
            <w:r>
              <w:t xml:space="preserve"> не приобретались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- приобретение музыкальных инструментов, спортивного инвентаря, сценических костюмов для Дома детского творчества п.Приамурский</w:t>
            </w:r>
          </w:p>
        </w:tc>
        <w:tc>
          <w:tcPr>
            <w:tcW w:w="9141" w:type="dxa"/>
            <w:gridSpan w:val="2"/>
            <w:vMerge/>
          </w:tcPr>
          <w:p w:rsidR="003B5019" w:rsidRPr="00C459F7" w:rsidRDefault="003B5019" w:rsidP="00E32205">
            <w:pPr>
              <w:tabs>
                <w:tab w:val="left" w:pos="11895"/>
              </w:tabs>
              <w:jc w:val="both"/>
            </w:pP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- приобретение спортивного инвентаря по хоккею с мячом, карате, мячи, спортивные костюмы  для Детско-юношеской спортивной школы</w:t>
            </w:r>
          </w:p>
        </w:tc>
        <w:tc>
          <w:tcPr>
            <w:tcW w:w="9141" w:type="dxa"/>
            <w:gridSpan w:val="2"/>
            <w:vMerge/>
          </w:tcPr>
          <w:p w:rsidR="003B5019" w:rsidRPr="00C459F7" w:rsidRDefault="003B5019" w:rsidP="00E32205">
            <w:pPr>
              <w:tabs>
                <w:tab w:val="left" w:pos="11895"/>
              </w:tabs>
              <w:jc w:val="both"/>
            </w:pP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FE7896">
            <w:pPr>
              <w:tabs>
                <w:tab w:val="left" w:pos="11895"/>
              </w:tabs>
              <w:jc w:val="center"/>
            </w:pPr>
            <w:r w:rsidRPr="00D957B9">
              <w:t>3.2. Развитие системы поддержки талантливых детей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3.2.1</w:t>
            </w: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Систематизация деятельности по выявлению одаренных детей, подготовка участников интеллектуальных, творческих и спортивных соревнований и конкурсов всех уровней, реализация комплексной муниципальной Программы «Талантливые и одаренные дети муниципального образования «Смидовичский муниципальный район»»</w:t>
            </w:r>
          </w:p>
        </w:tc>
        <w:tc>
          <w:tcPr>
            <w:tcW w:w="9141" w:type="dxa"/>
            <w:gridSpan w:val="2"/>
          </w:tcPr>
          <w:p w:rsidR="003B5019" w:rsidRDefault="003B5019" w:rsidP="00CB30B0">
            <w:pPr>
              <w:tabs>
                <w:tab w:val="left" w:pos="1140"/>
              </w:tabs>
              <w:jc w:val="both"/>
              <w:rPr>
                <w:szCs w:val="28"/>
              </w:rPr>
            </w:pPr>
            <w:r w:rsidRPr="003D162F">
              <w:rPr>
                <w:szCs w:val="28"/>
              </w:rPr>
              <w:t>В общеобразовательных учреждениях района ведётся работа по выявлению талантливых и одарённых детей</w:t>
            </w:r>
            <w:r>
              <w:rPr>
                <w:szCs w:val="28"/>
              </w:rPr>
              <w:t xml:space="preserve">, за которыми закреплены наставники. </w:t>
            </w:r>
          </w:p>
          <w:p w:rsidR="003B5019" w:rsidRDefault="003B5019" w:rsidP="00CB30B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 20 сентября 2019 года стартовал школьный этап всероссийской олимпиады школьников 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3.2.2</w:t>
            </w:r>
          </w:p>
        </w:tc>
        <w:tc>
          <w:tcPr>
            <w:tcW w:w="4892" w:type="dxa"/>
          </w:tcPr>
          <w:p w:rsidR="003B5019" w:rsidRPr="00407C77" w:rsidRDefault="003B5019" w:rsidP="00CB30B0">
            <w:pPr>
              <w:tabs>
                <w:tab w:val="left" w:pos="11895"/>
              </w:tabs>
              <w:jc w:val="both"/>
            </w:pPr>
            <w:r w:rsidRPr="00407C77">
              <w:t>Анализ результативности участия в различных конкурсах детей школьного возраста, формирование и ведение муниципального банка данных одаренных детей</w:t>
            </w:r>
          </w:p>
        </w:tc>
        <w:tc>
          <w:tcPr>
            <w:tcW w:w="9141" w:type="dxa"/>
            <w:gridSpan w:val="2"/>
          </w:tcPr>
          <w:p w:rsidR="003B5019" w:rsidRDefault="003B5019" w:rsidP="00CB30B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407C77">
              <w:t>Анализ результативности участия в различных конкурсах детей школьного возраста</w:t>
            </w:r>
            <w:r>
              <w:t xml:space="preserve"> проведён. По состоянию на 01.09.2019  в банке данных одаренных детей состоит 184 человека 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3.2.4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Организация конкурса муниципальных грантов для школьников по направлениям: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-социальный пакет;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-информационно-технологический проект;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-вокально-инструментальное мастерство;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-спортивные достижения;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-интеллектуальный проект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Во втором квартале 2019 года конкурс муниципальных грантов не проводился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3.2.5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Учреждение стипендии главы муниципального района для талантливых и одаренных детей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21  мая 2019 года 15 лучших учащихся награждены стипендией</w:t>
            </w:r>
            <w:r w:rsidRPr="00B54518">
              <w:t xml:space="preserve"> главы муниципального района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3.2.6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Проведение муниципальных мероприятий для школьников: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-интеллектуальные конкурсы;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-научно-практические конференции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В третьем квартале 2019 года учащиеся общеобразовательных организаций принимают активное участие в интеллектуальных конкурсах различной интеллектуальной направленности: олимпиада «ОРКСЭ», школьный этап Всероссийской олимпиады школьников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E32205">
            <w:pPr>
              <w:tabs>
                <w:tab w:val="left" w:pos="11895"/>
              </w:tabs>
              <w:jc w:val="center"/>
            </w:pPr>
            <w:r w:rsidRPr="00C459F7">
              <w:t>3.2.7.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Проведение районных и участие в областных спортивных мероприятий, включенных в   муниципальную программу «Талантливые и одаренные дети муниципального образования «Смидовичский муниципальный район»»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 w:rsidRPr="00B54518">
              <w:t xml:space="preserve">Обучающиеся всех образовательных учреждений района принимают участие в районных и областных спортивных мероприятиях: </w:t>
            </w:r>
            <w:r>
              <w:t>«Президентские состязания». Соревнования «Кожаный мяч». Количество участников 180 человек</w:t>
            </w: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CC06A2">
            <w:pPr>
              <w:tabs>
                <w:tab w:val="left" w:pos="11895"/>
              </w:tabs>
              <w:jc w:val="center"/>
            </w:pPr>
            <w:r w:rsidRPr="00D957B9">
              <w:t>3.3. Развитие учительского потенциала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6B08E7">
            <w:pPr>
              <w:tabs>
                <w:tab w:val="left" w:pos="11895"/>
              </w:tabs>
              <w:jc w:val="center"/>
            </w:pPr>
            <w:r>
              <w:t>3.</w:t>
            </w:r>
            <w:r w:rsidRPr="00C459F7">
              <w:t>2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Организация поэтапного обучения работников образования для обеспечения перехода общеобразовательных учреждений на федеральный государственный стандарт общего образования второго поколения и повышения информационно-технологической компетентности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 w:rsidRPr="00A8694B">
              <w:t xml:space="preserve">Повышение квалификации учителей по вопросам внедрения ФГОС начального общего образования проходило в 2016 году на базе ИПКПР г Биробиджана. В этих курсах профессиональную переподготовку прошли 64 педагога. Следующие курсы состоятся в </w:t>
            </w:r>
            <w:r>
              <w:t>октябре</w:t>
            </w:r>
            <w:r w:rsidRPr="00A8694B">
              <w:t xml:space="preserve"> 2019 года</w:t>
            </w: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A8694B" w:rsidRDefault="003B5019" w:rsidP="006B08E7">
            <w:pPr>
              <w:tabs>
                <w:tab w:val="left" w:pos="1140"/>
              </w:tabs>
              <w:jc w:val="center"/>
            </w:pPr>
            <w:r w:rsidRPr="00B54518">
              <w:t>3.4. Приведение условий обучения школьников в соответствие современным требованиям федерального государственного стандарта общего образования второго поколения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  <w:r w:rsidRPr="00B54518">
              <w:t>3.4.1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Устранение нарушений по предписаниям надзорных органов по пожарной безопасности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 xml:space="preserve">Согласно предписаниям надзорных органов все нарушения устраняются согласно указанным срокам 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  <w:r w:rsidRPr="00B54518">
              <w:t>3.4.2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jc w:val="both"/>
            </w:pPr>
            <w:r w:rsidRPr="00B54518">
              <w:t xml:space="preserve">Ремонт наружных пожарных лестниц:  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>муниципальные бюджетные дошкольные образовательные учреждения (далее МБДОУ)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 xml:space="preserve"> -«Детский сад №2 пос. Приамурский»</w:t>
            </w:r>
            <w:r w:rsidRPr="00B54518">
              <w:t>;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>- «Детский сад №5 пос. Смидович»</w:t>
            </w:r>
            <w:r w:rsidRPr="00B54518">
              <w:t xml:space="preserve">; 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>муниципальные бюджетные  образовательные учреждения (далее МБОУ)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t>-</w:t>
            </w:r>
            <w:r w:rsidRPr="00B54518">
              <w:rPr>
                <w:lang w:eastAsia="en-US"/>
              </w:rPr>
              <w:t xml:space="preserve">  «Средняя общеобразовательная школа №3 пос. Смидович»;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>- «Средняя общеобразовательная школа №4 с. Даниловка»;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>-  «Школа- сад №6 с.Партизанское»;</w:t>
            </w:r>
          </w:p>
          <w:p w:rsidR="003B5019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 xml:space="preserve">-  «Средняя общеобразовательная школа №8 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rPr>
                <w:lang w:eastAsia="en-US"/>
              </w:rPr>
              <w:t>с. Аур»;</w:t>
            </w:r>
          </w:p>
          <w:p w:rsidR="003B5019" w:rsidRPr="00B54518" w:rsidRDefault="003B5019" w:rsidP="00CB30B0">
            <w:pPr>
              <w:jc w:val="both"/>
            </w:pPr>
            <w:r w:rsidRPr="00B54518">
              <w:rPr>
                <w:lang w:eastAsia="en-US"/>
              </w:rPr>
              <w:t>- «Школа- сад №9 с. Песчаное»</w:t>
            </w:r>
            <w:r w:rsidRPr="00B54518">
              <w:t>;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t>-</w:t>
            </w:r>
            <w:r w:rsidRPr="00B54518">
              <w:rPr>
                <w:lang w:eastAsia="en-US"/>
              </w:rPr>
              <w:t xml:space="preserve">  «Средняя общеобразователь</w:t>
            </w:r>
            <w:r>
              <w:rPr>
                <w:lang w:eastAsia="en-US"/>
              </w:rPr>
              <w:t>ная школа №10 пос. Волочаевка»;</w:t>
            </w:r>
          </w:p>
          <w:p w:rsidR="003B5019" w:rsidRPr="00B54518" w:rsidRDefault="003B5019" w:rsidP="00CB30B0">
            <w:pPr>
              <w:jc w:val="both"/>
            </w:pPr>
            <w:r w:rsidRPr="00B54518">
              <w:rPr>
                <w:lang w:eastAsia="en-US"/>
              </w:rPr>
              <w:t>-  «Средняя общеобразовательная школа №18 пос. Приамурский»</w:t>
            </w:r>
            <w:r w:rsidRPr="00B54518">
              <w:t>;</w:t>
            </w:r>
          </w:p>
          <w:p w:rsidR="003B5019" w:rsidRPr="00B54518" w:rsidRDefault="003B5019" w:rsidP="00CB30B0">
            <w:pPr>
              <w:jc w:val="both"/>
              <w:rPr>
                <w:lang w:eastAsia="en-US"/>
              </w:rPr>
            </w:pPr>
            <w:r w:rsidRPr="00B54518">
              <w:t>-</w:t>
            </w:r>
            <w:r w:rsidRPr="00B54518">
              <w:rPr>
                <w:lang w:eastAsia="en-US"/>
              </w:rPr>
              <w:t xml:space="preserve">  «Школа-сад №22 с.им. Тельмана»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В третьем квартале 2019 года в учреждениях образования ремонт наружных пожарных лестниц не проводился. В виду острого дефицита бюджета работа в данном направлении ведётся</w:t>
            </w: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462783">
            <w:pPr>
              <w:tabs>
                <w:tab w:val="left" w:pos="11895"/>
              </w:tabs>
              <w:jc w:val="center"/>
            </w:pPr>
            <w:r w:rsidRPr="00D957B9">
              <w:t>3.5. Повышение доступности качественных услуг дошкольного образования населению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  <w:r w:rsidRPr="00B54518">
              <w:t>3.5.2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Улучшение инфраструктуры и материально-технической базы дошкольных образовательных учреждений в целях приведения помещений групп для детей дошкольного возраста в соответствие с современными требованиями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 w:rsidRPr="00A8694B">
              <w:t>В образовательных учреждениях созданы условия по реализации ФГОС в дошкольных образовательных учреждениях, помещения приведены в соответствие с требованиями безопасности, СанПиН, приобретена мебель, мягкий инвентарь, игрушки, организационная техника, технологическое оборудование, спортивное оборудование. Информационное обеспечение ФГОС ДО осуществляется посредством размещения материалов и информации на сайтах ДОУ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  <w:r w:rsidRPr="00B54518">
              <w:t>3.5.3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Обеспечение компьютерной техникой всех дошкольных образовательных учреждений для обеспечения электронного документооборота, оказания муниципальных услуг в электронном виде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Во всех образовательных учреждениях района имеется компьютерная техника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  <w:r w:rsidRPr="00B54518">
              <w:t>3.5.4</w:t>
            </w:r>
          </w:p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Подключение к Интернет дошкольных образовательных учреждений для ведения сайтов, обеспечения электронного документооборота, оказания муниципальных услуг в электронном виде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Все образовательные учреждения района подключены к сети Интернет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B54518" w:rsidRDefault="003B5019" w:rsidP="00CB30B0">
            <w:pPr>
              <w:tabs>
                <w:tab w:val="left" w:pos="11895"/>
              </w:tabs>
              <w:jc w:val="center"/>
            </w:pPr>
            <w:r w:rsidRPr="00B54518">
              <w:t>3.5.5</w:t>
            </w:r>
          </w:p>
        </w:tc>
        <w:tc>
          <w:tcPr>
            <w:tcW w:w="4892" w:type="dxa"/>
          </w:tcPr>
          <w:p w:rsidR="003B5019" w:rsidRPr="00B54518" w:rsidRDefault="003B5019" w:rsidP="00CB30B0">
            <w:pPr>
              <w:tabs>
                <w:tab w:val="left" w:pos="11895"/>
              </w:tabs>
              <w:jc w:val="both"/>
            </w:pPr>
            <w:r w:rsidRPr="00B54518">
              <w:t>Создание и содержание интернет-сайтов средних общеобразовательных учреждений и дошкольных образовательных учреждений</w:t>
            </w:r>
          </w:p>
        </w:tc>
        <w:tc>
          <w:tcPr>
            <w:tcW w:w="9141" w:type="dxa"/>
            <w:gridSpan w:val="2"/>
          </w:tcPr>
          <w:p w:rsidR="003B5019" w:rsidRPr="00B54518" w:rsidRDefault="003B5019" w:rsidP="00CB30B0">
            <w:pPr>
              <w:tabs>
                <w:tab w:val="left" w:pos="1140"/>
              </w:tabs>
              <w:jc w:val="both"/>
            </w:pPr>
            <w:r>
              <w:t>Все образовательные учреждения имеют официальные сайты в сети Интернет, на которых размещена вся информация о деятельности учреждения</w:t>
            </w:r>
          </w:p>
        </w:tc>
      </w:tr>
      <w:tr w:rsidR="003B5019" w:rsidRPr="00C459F7" w:rsidTr="0050597C">
        <w:trPr>
          <w:trHeight w:val="180"/>
        </w:trPr>
        <w:tc>
          <w:tcPr>
            <w:tcW w:w="14884" w:type="dxa"/>
            <w:gridSpan w:val="5"/>
          </w:tcPr>
          <w:p w:rsidR="003B5019" w:rsidRPr="00D957B9" w:rsidRDefault="003B5019" w:rsidP="00462783">
            <w:pPr>
              <w:tabs>
                <w:tab w:val="left" w:pos="11895"/>
              </w:tabs>
              <w:jc w:val="center"/>
            </w:pPr>
            <w:r w:rsidRPr="00D957B9">
              <w:t>4. Физическая культура и спорт</w:t>
            </w:r>
          </w:p>
        </w:tc>
      </w:tr>
      <w:tr w:rsidR="003B5019" w:rsidRPr="00C459F7" w:rsidTr="0050597C">
        <w:trPr>
          <w:trHeight w:val="180"/>
        </w:trPr>
        <w:tc>
          <w:tcPr>
            <w:tcW w:w="851" w:type="dxa"/>
            <w:gridSpan w:val="2"/>
          </w:tcPr>
          <w:p w:rsidR="003B5019" w:rsidRPr="00C459F7" w:rsidRDefault="003B5019" w:rsidP="00F16A90">
            <w:pPr>
              <w:tabs>
                <w:tab w:val="left" w:pos="11895"/>
              </w:tabs>
              <w:jc w:val="center"/>
            </w:pPr>
            <w:r w:rsidRPr="00C459F7">
              <w:t>4.1</w:t>
            </w:r>
          </w:p>
        </w:tc>
        <w:tc>
          <w:tcPr>
            <w:tcW w:w="4892" w:type="dxa"/>
          </w:tcPr>
          <w:p w:rsidR="003B5019" w:rsidRPr="00554E9F" w:rsidRDefault="003B5019" w:rsidP="00F16A90">
            <w:pPr>
              <w:tabs>
                <w:tab w:val="left" w:pos="11895"/>
              </w:tabs>
              <w:jc w:val="both"/>
            </w:pPr>
            <w:r w:rsidRPr="00554E9F">
              <w:t>Организация и проведение официальных муниципальных спортивных мероприятий по традиционным видам спорта</w:t>
            </w:r>
          </w:p>
        </w:tc>
        <w:tc>
          <w:tcPr>
            <w:tcW w:w="9141" w:type="dxa"/>
            <w:gridSpan w:val="2"/>
          </w:tcPr>
          <w:p w:rsidR="003B5019" w:rsidRDefault="003B5019" w:rsidP="00E73690">
            <w:pPr>
              <w:jc w:val="both"/>
            </w:pPr>
            <w:r>
              <w:t xml:space="preserve">В соответствии с Единым календарным планом проведено 3 официальных муниципальных мероприятия. </w:t>
            </w:r>
          </w:p>
          <w:p w:rsidR="003B5019" w:rsidRPr="000711CB" w:rsidRDefault="003B5019" w:rsidP="00E73690">
            <w:pPr>
              <w:jc w:val="both"/>
            </w:pPr>
            <w:r>
              <w:t>Общее количество участников соревнований 200 человек</w:t>
            </w:r>
          </w:p>
        </w:tc>
      </w:tr>
      <w:tr w:rsidR="003B5019" w:rsidRPr="00C459F7" w:rsidTr="00A0136E">
        <w:trPr>
          <w:trHeight w:val="1425"/>
        </w:trPr>
        <w:tc>
          <w:tcPr>
            <w:tcW w:w="851" w:type="dxa"/>
            <w:gridSpan w:val="2"/>
          </w:tcPr>
          <w:p w:rsidR="003B5019" w:rsidRPr="00C459F7" w:rsidRDefault="003B5019" w:rsidP="00F16A90">
            <w:pPr>
              <w:tabs>
                <w:tab w:val="left" w:pos="11895"/>
              </w:tabs>
              <w:jc w:val="center"/>
            </w:pPr>
            <w:r w:rsidRPr="00C459F7">
              <w:t>4.2</w:t>
            </w:r>
          </w:p>
        </w:tc>
        <w:tc>
          <w:tcPr>
            <w:tcW w:w="4892" w:type="dxa"/>
          </w:tcPr>
          <w:p w:rsidR="003B5019" w:rsidRPr="00554E9F" w:rsidRDefault="003B5019" w:rsidP="00F16A90">
            <w:pPr>
              <w:tabs>
                <w:tab w:val="left" w:pos="11895"/>
              </w:tabs>
              <w:jc w:val="both"/>
            </w:pPr>
            <w:r w:rsidRPr="00554E9F">
              <w:t>Организация физкультурно-спортивной работы по месту жительства граждан с учетом местных условий и возможностей</w:t>
            </w:r>
          </w:p>
        </w:tc>
        <w:tc>
          <w:tcPr>
            <w:tcW w:w="9141" w:type="dxa"/>
            <w:gridSpan w:val="2"/>
          </w:tcPr>
          <w:p w:rsidR="003B5019" w:rsidRDefault="003B5019" w:rsidP="00F16A90">
            <w:pPr>
              <w:jc w:val="both"/>
              <w:rPr>
                <w:lang w:eastAsia="en-US"/>
              </w:rPr>
            </w:pPr>
            <w:r w:rsidRPr="00F16A90">
              <w:rPr>
                <w:lang w:eastAsia="en-US"/>
              </w:rPr>
              <w:t>Соревнования среди дворовых команд в рамках конкурса «Лучший общественный организатор физкультуры и спорта в микрорайоне»</w:t>
            </w:r>
            <w:r>
              <w:rPr>
                <w:lang w:eastAsia="en-US"/>
              </w:rPr>
              <w:t xml:space="preserve"> - 14 общественных организаторов физкультуры и спорта. </w:t>
            </w:r>
          </w:p>
          <w:p w:rsidR="003B5019" w:rsidRPr="00554E9F" w:rsidRDefault="003B5019" w:rsidP="00F16A90">
            <w:pPr>
              <w:jc w:val="both"/>
            </w:pPr>
            <w:r>
              <w:rPr>
                <w:lang w:eastAsia="en-US"/>
              </w:rPr>
              <w:t>Наиболее активные общественные тренеры: Макарова О., Комаревцева З., Кириленко Л., Малахов И., Щербина А.</w:t>
            </w:r>
          </w:p>
        </w:tc>
      </w:tr>
      <w:tr w:rsidR="003B5019" w:rsidRPr="00C459F7" w:rsidTr="00315082">
        <w:trPr>
          <w:trHeight w:val="270"/>
        </w:trPr>
        <w:tc>
          <w:tcPr>
            <w:tcW w:w="14884" w:type="dxa"/>
            <w:gridSpan w:val="5"/>
          </w:tcPr>
          <w:p w:rsidR="003B5019" w:rsidRPr="00F16A90" w:rsidRDefault="003B5019" w:rsidP="00A0136E">
            <w:pPr>
              <w:jc w:val="center"/>
              <w:rPr>
                <w:lang w:eastAsia="en-US"/>
              </w:rPr>
            </w:pPr>
            <w:r w:rsidRPr="00A0136E">
              <w:rPr>
                <w:bCs/>
              </w:rPr>
              <w:t>5. Повышение эффективности и качества муниципального управления</w:t>
            </w:r>
          </w:p>
        </w:tc>
      </w:tr>
      <w:tr w:rsidR="003B5019" w:rsidRPr="00C459F7" w:rsidTr="00DE46EB">
        <w:trPr>
          <w:trHeight w:val="580"/>
        </w:trPr>
        <w:tc>
          <w:tcPr>
            <w:tcW w:w="851" w:type="dxa"/>
            <w:gridSpan w:val="2"/>
          </w:tcPr>
          <w:p w:rsidR="003B5019" w:rsidRPr="00C459F7" w:rsidRDefault="003B5019" w:rsidP="00F16A90">
            <w:pPr>
              <w:tabs>
                <w:tab w:val="left" w:pos="11895"/>
              </w:tabs>
              <w:jc w:val="center"/>
            </w:pPr>
            <w:r>
              <w:t>5.1</w:t>
            </w:r>
          </w:p>
        </w:tc>
        <w:tc>
          <w:tcPr>
            <w:tcW w:w="4892" w:type="dxa"/>
          </w:tcPr>
          <w:p w:rsidR="003B5019" w:rsidRPr="00554E9F" w:rsidRDefault="003B5019" w:rsidP="00F16A90">
            <w:pPr>
              <w:tabs>
                <w:tab w:val="left" w:pos="11895"/>
              </w:tabs>
              <w:jc w:val="both"/>
            </w:pPr>
            <w: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9141" w:type="dxa"/>
            <w:gridSpan w:val="2"/>
          </w:tcPr>
          <w:p w:rsidR="003B5019" w:rsidRDefault="003B5019" w:rsidP="00DE46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феврале на курсах повышения квалификации по теме: «Новации в земельном, жилищном, градостроительном законодательстве 2018 года», повысили свой профессиональный уровень 2 муниципальных служащих.</w:t>
            </w:r>
          </w:p>
          <w:p w:rsidR="003B5019" w:rsidRDefault="003B5019" w:rsidP="00DE46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мае 2019 года курсы повышения квалификации прошли 5 специалистов по теме: «Основные изменения в сфере закупок, вступившие в силу в 2019 году.</w:t>
            </w:r>
          </w:p>
          <w:p w:rsidR="003B5019" w:rsidRDefault="003B5019" w:rsidP="00DE46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июне 2019 года 5 муниципальных служащих приняли участие в вебинаре, организованным Новосибирским институтом профессионального развития работников бюджетной сферы по теме «Обзор ключевых изменений законодательства в сфере закупок»</w:t>
            </w:r>
          </w:p>
          <w:p w:rsidR="003B5019" w:rsidRPr="00F16A90" w:rsidRDefault="003B5019" w:rsidP="00F16A90">
            <w:pPr>
              <w:jc w:val="both"/>
              <w:rPr>
                <w:lang w:eastAsia="en-US"/>
              </w:rPr>
            </w:pPr>
          </w:p>
        </w:tc>
      </w:tr>
      <w:tr w:rsidR="003B5019" w:rsidRPr="00C459F7" w:rsidTr="00DE46EB">
        <w:trPr>
          <w:trHeight w:val="600"/>
        </w:trPr>
        <w:tc>
          <w:tcPr>
            <w:tcW w:w="851" w:type="dxa"/>
            <w:gridSpan w:val="2"/>
          </w:tcPr>
          <w:p w:rsidR="003B5019" w:rsidRDefault="003B5019" w:rsidP="00F16A90">
            <w:pPr>
              <w:tabs>
                <w:tab w:val="left" w:pos="11895"/>
              </w:tabs>
              <w:jc w:val="center"/>
            </w:pPr>
            <w:r>
              <w:t>5.2</w:t>
            </w:r>
          </w:p>
        </w:tc>
        <w:tc>
          <w:tcPr>
            <w:tcW w:w="4892" w:type="dxa"/>
          </w:tcPr>
          <w:p w:rsidR="003B5019" w:rsidRPr="00554E9F" w:rsidRDefault="003B5019" w:rsidP="00DE46EB">
            <w:pPr>
              <w:tabs>
                <w:tab w:val="left" w:pos="11895"/>
              </w:tabs>
            </w:pPr>
            <w:r>
              <w:t xml:space="preserve">Организация переподготовки муниципальных служащих </w:t>
            </w:r>
          </w:p>
        </w:tc>
        <w:tc>
          <w:tcPr>
            <w:tcW w:w="9141" w:type="dxa"/>
            <w:gridSpan w:val="2"/>
          </w:tcPr>
          <w:p w:rsidR="003B5019" w:rsidRDefault="003B5019" w:rsidP="00F16A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РАНХ и ГС (г.Хабаровск) один муниципальный служащий проходит профессиональную переподготовку по направлению «Государственное и муниципальное управление» по 504-х   часовой программе.</w:t>
            </w:r>
          </w:p>
        </w:tc>
      </w:tr>
      <w:tr w:rsidR="003B5019" w:rsidRPr="00C459F7" w:rsidTr="00DE46EB">
        <w:trPr>
          <w:trHeight w:val="780"/>
        </w:trPr>
        <w:tc>
          <w:tcPr>
            <w:tcW w:w="851" w:type="dxa"/>
            <w:gridSpan w:val="2"/>
          </w:tcPr>
          <w:p w:rsidR="003B5019" w:rsidRDefault="003B5019" w:rsidP="00F16A90">
            <w:pPr>
              <w:tabs>
                <w:tab w:val="left" w:pos="11895"/>
              </w:tabs>
              <w:jc w:val="center"/>
            </w:pPr>
            <w:r>
              <w:t>5.3</w:t>
            </w:r>
          </w:p>
        </w:tc>
        <w:tc>
          <w:tcPr>
            <w:tcW w:w="4892" w:type="dxa"/>
          </w:tcPr>
          <w:p w:rsidR="003B5019" w:rsidRPr="00554E9F" w:rsidRDefault="003B5019" w:rsidP="00F16A90">
            <w:pPr>
              <w:tabs>
                <w:tab w:val="left" w:pos="11895"/>
              </w:tabs>
              <w:jc w:val="both"/>
            </w:pPr>
            <w:r>
              <w:t xml:space="preserve"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РФ служащего от 14.12.2009 №984н </w:t>
            </w:r>
          </w:p>
        </w:tc>
        <w:tc>
          <w:tcPr>
            <w:tcW w:w="9141" w:type="dxa"/>
            <w:gridSpan w:val="2"/>
          </w:tcPr>
          <w:p w:rsidR="003B5019" w:rsidRDefault="003B5019" w:rsidP="00F16A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30.09.2019  заключен муниципальный контракт с ОГБУЗ «Смидовичская районная больница»  на прохождение диспансеризациимуниципальных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РФ и муниципальными служащими, утвержденным приказом министерства здравоохранения и социального развития РФ от 14.12.2009 №984н.</w:t>
            </w:r>
          </w:p>
        </w:tc>
      </w:tr>
    </w:tbl>
    <w:p w:rsidR="00663647" w:rsidRDefault="00663647"/>
    <w:p w:rsidR="00663647" w:rsidRDefault="00663647"/>
    <w:sectPr w:rsidR="00663647" w:rsidSect="00690E4A">
      <w:headerReference w:type="default" r:id="rId6"/>
      <w:footerReference w:type="first" r:id="rId7"/>
      <w:pgSz w:w="16838" w:h="11906" w:orient="landscape"/>
      <w:pgMar w:top="1134" w:right="1134" w:bottom="850" w:left="1134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1B" w:rsidRDefault="004B6D1B" w:rsidP="00C92843">
      <w:r>
        <w:separator/>
      </w:r>
    </w:p>
  </w:endnote>
  <w:endnote w:type="continuationSeparator" w:id="0">
    <w:p w:rsidR="004B6D1B" w:rsidRDefault="004B6D1B" w:rsidP="00C9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1B" w:rsidRDefault="004B6D1B">
    <w:pPr>
      <w:pStyle w:val="a7"/>
    </w:pPr>
  </w:p>
  <w:p w:rsidR="004B6D1B" w:rsidRDefault="004B6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1B" w:rsidRDefault="004B6D1B" w:rsidP="00C92843">
      <w:r>
        <w:separator/>
      </w:r>
    </w:p>
  </w:footnote>
  <w:footnote w:type="continuationSeparator" w:id="0">
    <w:p w:rsidR="004B6D1B" w:rsidRDefault="004B6D1B" w:rsidP="00C9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1B" w:rsidRDefault="00981F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67C3">
      <w:rPr>
        <w:noProof/>
      </w:rPr>
      <w:t>2</w:t>
    </w:r>
    <w:r>
      <w:rPr>
        <w:noProof/>
      </w:rPr>
      <w:fldChar w:fldCharType="end"/>
    </w:r>
  </w:p>
  <w:p w:rsidR="004B6D1B" w:rsidRDefault="004B6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0"/>
    <w:rsid w:val="000024F2"/>
    <w:rsid w:val="000070B9"/>
    <w:rsid w:val="000103DB"/>
    <w:rsid w:val="00013AB6"/>
    <w:rsid w:val="00014B9D"/>
    <w:rsid w:val="00020924"/>
    <w:rsid w:val="00036644"/>
    <w:rsid w:val="00037006"/>
    <w:rsid w:val="00045EC9"/>
    <w:rsid w:val="00046443"/>
    <w:rsid w:val="00047A7C"/>
    <w:rsid w:val="00051967"/>
    <w:rsid w:val="00060242"/>
    <w:rsid w:val="00067BD3"/>
    <w:rsid w:val="00070202"/>
    <w:rsid w:val="000711CB"/>
    <w:rsid w:val="00080F18"/>
    <w:rsid w:val="00086C72"/>
    <w:rsid w:val="00090CEC"/>
    <w:rsid w:val="0009245A"/>
    <w:rsid w:val="000A0022"/>
    <w:rsid w:val="000B1BC3"/>
    <w:rsid w:val="000B38E5"/>
    <w:rsid w:val="000B64CB"/>
    <w:rsid w:val="000C5B5D"/>
    <w:rsid w:val="000C7419"/>
    <w:rsid w:val="000E018E"/>
    <w:rsid w:val="000E2C49"/>
    <w:rsid w:val="000E5C3A"/>
    <w:rsid w:val="000F0044"/>
    <w:rsid w:val="000F5BFA"/>
    <w:rsid w:val="001018BB"/>
    <w:rsid w:val="001140B3"/>
    <w:rsid w:val="0012470C"/>
    <w:rsid w:val="00147580"/>
    <w:rsid w:val="001511E5"/>
    <w:rsid w:val="00156A29"/>
    <w:rsid w:val="00157E22"/>
    <w:rsid w:val="00161790"/>
    <w:rsid w:val="0018485B"/>
    <w:rsid w:val="00184DD8"/>
    <w:rsid w:val="001932BF"/>
    <w:rsid w:val="001A0ED5"/>
    <w:rsid w:val="001A3F5A"/>
    <w:rsid w:val="001A6776"/>
    <w:rsid w:val="001D19FD"/>
    <w:rsid w:val="001D48BA"/>
    <w:rsid w:val="001D6E74"/>
    <w:rsid w:val="001D7679"/>
    <w:rsid w:val="001E7928"/>
    <w:rsid w:val="001F39CC"/>
    <w:rsid w:val="00204F3F"/>
    <w:rsid w:val="00210369"/>
    <w:rsid w:val="00215519"/>
    <w:rsid w:val="0021576E"/>
    <w:rsid w:val="00222B12"/>
    <w:rsid w:val="00230EBB"/>
    <w:rsid w:val="0023607D"/>
    <w:rsid w:val="00243ADF"/>
    <w:rsid w:val="00274B38"/>
    <w:rsid w:val="0027795B"/>
    <w:rsid w:val="00294633"/>
    <w:rsid w:val="002958A8"/>
    <w:rsid w:val="002967BC"/>
    <w:rsid w:val="002A252C"/>
    <w:rsid w:val="002A5BF7"/>
    <w:rsid w:val="002A6422"/>
    <w:rsid w:val="002B2159"/>
    <w:rsid w:val="002B21C2"/>
    <w:rsid w:val="002C1CD5"/>
    <w:rsid w:val="002D0D2D"/>
    <w:rsid w:val="002D47C4"/>
    <w:rsid w:val="002D4BEB"/>
    <w:rsid w:val="002E2D0D"/>
    <w:rsid w:val="002E311A"/>
    <w:rsid w:val="002E46C7"/>
    <w:rsid w:val="002F3049"/>
    <w:rsid w:val="002F4842"/>
    <w:rsid w:val="003004BD"/>
    <w:rsid w:val="0030068F"/>
    <w:rsid w:val="00315082"/>
    <w:rsid w:val="00327346"/>
    <w:rsid w:val="0033102F"/>
    <w:rsid w:val="003317A5"/>
    <w:rsid w:val="00332DF4"/>
    <w:rsid w:val="00342084"/>
    <w:rsid w:val="0034514B"/>
    <w:rsid w:val="00354BEC"/>
    <w:rsid w:val="00355910"/>
    <w:rsid w:val="00363E14"/>
    <w:rsid w:val="00367BC7"/>
    <w:rsid w:val="00372E05"/>
    <w:rsid w:val="00373080"/>
    <w:rsid w:val="00374120"/>
    <w:rsid w:val="00377323"/>
    <w:rsid w:val="00381F0B"/>
    <w:rsid w:val="00394A3B"/>
    <w:rsid w:val="003A23A2"/>
    <w:rsid w:val="003A7D8F"/>
    <w:rsid w:val="003B5019"/>
    <w:rsid w:val="003B5A6A"/>
    <w:rsid w:val="003D162F"/>
    <w:rsid w:val="003D5E2C"/>
    <w:rsid w:val="003E30EC"/>
    <w:rsid w:val="003E3228"/>
    <w:rsid w:val="003E451A"/>
    <w:rsid w:val="003E4C2F"/>
    <w:rsid w:val="003E4EF5"/>
    <w:rsid w:val="003F4FE5"/>
    <w:rsid w:val="003F73B5"/>
    <w:rsid w:val="0040283E"/>
    <w:rsid w:val="00407C77"/>
    <w:rsid w:val="0041216E"/>
    <w:rsid w:val="004238F4"/>
    <w:rsid w:val="0042493D"/>
    <w:rsid w:val="00426314"/>
    <w:rsid w:val="00427E5F"/>
    <w:rsid w:val="004544EC"/>
    <w:rsid w:val="00462783"/>
    <w:rsid w:val="004633B0"/>
    <w:rsid w:val="00472241"/>
    <w:rsid w:val="004866AF"/>
    <w:rsid w:val="00487229"/>
    <w:rsid w:val="00494E2F"/>
    <w:rsid w:val="004A4A53"/>
    <w:rsid w:val="004A535F"/>
    <w:rsid w:val="004B4E3C"/>
    <w:rsid w:val="004B5380"/>
    <w:rsid w:val="004B6D1B"/>
    <w:rsid w:val="004C194A"/>
    <w:rsid w:val="004C46BD"/>
    <w:rsid w:val="004D227D"/>
    <w:rsid w:val="004E4AE8"/>
    <w:rsid w:val="004F3BF0"/>
    <w:rsid w:val="00503ADD"/>
    <w:rsid w:val="0050597C"/>
    <w:rsid w:val="00521F1F"/>
    <w:rsid w:val="00523609"/>
    <w:rsid w:val="00530028"/>
    <w:rsid w:val="005357CC"/>
    <w:rsid w:val="0054128E"/>
    <w:rsid w:val="00554E9F"/>
    <w:rsid w:val="00562026"/>
    <w:rsid w:val="005630D9"/>
    <w:rsid w:val="00564E4E"/>
    <w:rsid w:val="005C698F"/>
    <w:rsid w:val="005D5691"/>
    <w:rsid w:val="005E1B2E"/>
    <w:rsid w:val="005E4558"/>
    <w:rsid w:val="005E4B40"/>
    <w:rsid w:val="005E5C83"/>
    <w:rsid w:val="005F365C"/>
    <w:rsid w:val="006016B4"/>
    <w:rsid w:val="0060607B"/>
    <w:rsid w:val="006069A9"/>
    <w:rsid w:val="00610B23"/>
    <w:rsid w:val="00611428"/>
    <w:rsid w:val="00624FDF"/>
    <w:rsid w:val="00627467"/>
    <w:rsid w:val="006277C8"/>
    <w:rsid w:val="0063490E"/>
    <w:rsid w:val="0065029B"/>
    <w:rsid w:val="00651B1D"/>
    <w:rsid w:val="006538BC"/>
    <w:rsid w:val="00663647"/>
    <w:rsid w:val="006641FF"/>
    <w:rsid w:val="006741B1"/>
    <w:rsid w:val="00676866"/>
    <w:rsid w:val="00690E4A"/>
    <w:rsid w:val="00690E88"/>
    <w:rsid w:val="006A3777"/>
    <w:rsid w:val="006A5A10"/>
    <w:rsid w:val="006B08E7"/>
    <w:rsid w:val="006B422F"/>
    <w:rsid w:val="006B6FD2"/>
    <w:rsid w:val="006C631F"/>
    <w:rsid w:val="006D1730"/>
    <w:rsid w:val="006E2620"/>
    <w:rsid w:val="006F1671"/>
    <w:rsid w:val="007045FE"/>
    <w:rsid w:val="00705EA0"/>
    <w:rsid w:val="00712A81"/>
    <w:rsid w:val="00725204"/>
    <w:rsid w:val="00727DC3"/>
    <w:rsid w:val="00732003"/>
    <w:rsid w:val="00741D13"/>
    <w:rsid w:val="00751EC9"/>
    <w:rsid w:val="00752EEB"/>
    <w:rsid w:val="00771F9C"/>
    <w:rsid w:val="00774939"/>
    <w:rsid w:val="007760D7"/>
    <w:rsid w:val="00777A74"/>
    <w:rsid w:val="00781AF4"/>
    <w:rsid w:val="00784CE7"/>
    <w:rsid w:val="00786B42"/>
    <w:rsid w:val="007A4A9B"/>
    <w:rsid w:val="007C6C4D"/>
    <w:rsid w:val="007D5A9C"/>
    <w:rsid w:val="007D5B79"/>
    <w:rsid w:val="007F6B78"/>
    <w:rsid w:val="00802DE7"/>
    <w:rsid w:val="00807C54"/>
    <w:rsid w:val="00821DA1"/>
    <w:rsid w:val="00825B18"/>
    <w:rsid w:val="0084268F"/>
    <w:rsid w:val="00851F68"/>
    <w:rsid w:val="0085290F"/>
    <w:rsid w:val="0085569A"/>
    <w:rsid w:val="008574E1"/>
    <w:rsid w:val="0086003D"/>
    <w:rsid w:val="008612A2"/>
    <w:rsid w:val="00862E70"/>
    <w:rsid w:val="0086438D"/>
    <w:rsid w:val="0087312A"/>
    <w:rsid w:val="00874AE4"/>
    <w:rsid w:val="00881E6B"/>
    <w:rsid w:val="00882310"/>
    <w:rsid w:val="0089551F"/>
    <w:rsid w:val="008B01A8"/>
    <w:rsid w:val="008E1A09"/>
    <w:rsid w:val="008E6372"/>
    <w:rsid w:val="008E7177"/>
    <w:rsid w:val="008E7EE6"/>
    <w:rsid w:val="00902762"/>
    <w:rsid w:val="00903819"/>
    <w:rsid w:val="009121DF"/>
    <w:rsid w:val="009164C0"/>
    <w:rsid w:val="009175F2"/>
    <w:rsid w:val="0092487B"/>
    <w:rsid w:val="00926E33"/>
    <w:rsid w:val="00942F40"/>
    <w:rsid w:val="0094452E"/>
    <w:rsid w:val="0095545C"/>
    <w:rsid w:val="00957387"/>
    <w:rsid w:val="00960F2D"/>
    <w:rsid w:val="00961138"/>
    <w:rsid w:val="00970C3F"/>
    <w:rsid w:val="0097664F"/>
    <w:rsid w:val="009778E4"/>
    <w:rsid w:val="00977ADA"/>
    <w:rsid w:val="00981F7F"/>
    <w:rsid w:val="0099720F"/>
    <w:rsid w:val="00997428"/>
    <w:rsid w:val="009B5948"/>
    <w:rsid w:val="009E0E9E"/>
    <w:rsid w:val="009E0EF4"/>
    <w:rsid w:val="009E1220"/>
    <w:rsid w:val="009E2A01"/>
    <w:rsid w:val="009E57EB"/>
    <w:rsid w:val="009E74D8"/>
    <w:rsid w:val="009E7826"/>
    <w:rsid w:val="009F0AA8"/>
    <w:rsid w:val="009F569B"/>
    <w:rsid w:val="00A0136E"/>
    <w:rsid w:val="00A0233F"/>
    <w:rsid w:val="00A108D0"/>
    <w:rsid w:val="00A12A1E"/>
    <w:rsid w:val="00A13E8B"/>
    <w:rsid w:val="00A14132"/>
    <w:rsid w:val="00A17954"/>
    <w:rsid w:val="00A26610"/>
    <w:rsid w:val="00A35295"/>
    <w:rsid w:val="00A44716"/>
    <w:rsid w:val="00A51782"/>
    <w:rsid w:val="00A51EF6"/>
    <w:rsid w:val="00A523BD"/>
    <w:rsid w:val="00A5426C"/>
    <w:rsid w:val="00A54584"/>
    <w:rsid w:val="00A54A95"/>
    <w:rsid w:val="00A61347"/>
    <w:rsid w:val="00A708A7"/>
    <w:rsid w:val="00A71A07"/>
    <w:rsid w:val="00A8296E"/>
    <w:rsid w:val="00A8694B"/>
    <w:rsid w:val="00A93B9B"/>
    <w:rsid w:val="00A955D8"/>
    <w:rsid w:val="00AA6B17"/>
    <w:rsid w:val="00AA6E3F"/>
    <w:rsid w:val="00AB6734"/>
    <w:rsid w:val="00AC61CD"/>
    <w:rsid w:val="00AD781D"/>
    <w:rsid w:val="00AE7C92"/>
    <w:rsid w:val="00B06467"/>
    <w:rsid w:val="00B1212E"/>
    <w:rsid w:val="00B16ABD"/>
    <w:rsid w:val="00B266D4"/>
    <w:rsid w:val="00B302C9"/>
    <w:rsid w:val="00B319EB"/>
    <w:rsid w:val="00B4621E"/>
    <w:rsid w:val="00B54518"/>
    <w:rsid w:val="00B6351A"/>
    <w:rsid w:val="00B750A3"/>
    <w:rsid w:val="00B76D6E"/>
    <w:rsid w:val="00B840BB"/>
    <w:rsid w:val="00B85D63"/>
    <w:rsid w:val="00B86E28"/>
    <w:rsid w:val="00B92D00"/>
    <w:rsid w:val="00B96E24"/>
    <w:rsid w:val="00BA065D"/>
    <w:rsid w:val="00BA1BC8"/>
    <w:rsid w:val="00BA3785"/>
    <w:rsid w:val="00BB0AC9"/>
    <w:rsid w:val="00BC5AD2"/>
    <w:rsid w:val="00BD0B93"/>
    <w:rsid w:val="00BF612B"/>
    <w:rsid w:val="00BF6740"/>
    <w:rsid w:val="00C00575"/>
    <w:rsid w:val="00C02540"/>
    <w:rsid w:val="00C047FE"/>
    <w:rsid w:val="00C055C6"/>
    <w:rsid w:val="00C11726"/>
    <w:rsid w:val="00C1459A"/>
    <w:rsid w:val="00C167C3"/>
    <w:rsid w:val="00C23687"/>
    <w:rsid w:val="00C26379"/>
    <w:rsid w:val="00C2645F"/>
    <w:rsid w:val="00C3114A"/>
    <w:rsid w:val="00C459F7"/>
    <w:rsid w:val="00C52BEA"/>
    <w:rsid w:val="00C57660"/>
    <w:rsid w:val="00C601CE"/>
    <w:rsid w:val="00C63263"/>
    <w:rsid w:val="00C6638B"/>
    <w:rsid w:val="00C70432"/>
    <w:rsid w:val="00C77415"/>
    <w:rsid w:val="00C85D35"/>
    <w:rsid w:val="00C911D3"/>
    <w:rsid w:val="00C92594"/>
    <w:rsid w:val="00C92843"/>
    <w:rsid w:val="00C93C44"/>
    <w:rsid w:val="00C94799"/>
    <w:rsid w:val="00CA0754"/>
    <w:rsid w:val="00CA35AB"/>
    <w:rsid w:val="00CA4782"/>
    <w:rsid w:val="00CB30B0"/>
    <w:rsid w:val="00CB59D9"/>
    <w:rsid w:val="00CC06A2"/>
    <w:rsid w:val="00CD3F48"/>
    <w:rsid w:val="00CD4C7D"/>
    <w:rsid w:val="00CE23CF"/>
    <w:rsid w:val="00D12EDA"/>
    <w:rsid w:val="00D12EE7"/>
    <w:rsid w:val="00D213B4"/>
    <w:rsid w:val="00D2291A"/>
    <w:rsid w:val="00D22C48"/>
    <w:rsid w:val="00D26884"/>
    <w:rsid w:val="00D30203"/>
    <w:rsid w:val="00D34B02"/>
    <w:rsid w:val="00D34B8A"/>
    <w:rsid w:val="00D36910"/>
    <w:rsid w:val="00D504D6"/>
    <w:rsid w:val="00D50F72"/>
    <w:rsid w:val="00D54885"/>
    <w:rsid w:val="00D62CAE"/>
    <w:rsid w:val="00D646CC"/>
    <w:rsid w:val="00D649CA"/>
    <w:rsid w:val="00D81DB3"/>
    <w:rsid w:val="00D81FD3"/>
    <w:rsid w:val="00D84186"/>
    <w:rsid w:val="00D84602"/>
    <w:rsid w:val="00D85BD4"/>
    <w:rsid w:val="00D86DBE"/>
    <w:rsid w:val="00D957B9"/>
    <w:rsid w:val="00D964A7"/>
    <w:rsid w:val="00D97F1E"/>
    <w:rsid w:val="00DA4DC6"/>
    <w:rsid w:val="00DA5639"/>
    <w:rsid w:val="00DB528E"/>
    <w:rsid w:val="00DC256F"/>
    <w:rsid w:val="00DC4379"/>
    <w:rsid w:val="00DC5977"/>
    <w:rsid w:val="00DD5E65"/>
    <w:rsid w:val="00DE46EB"/>
    <w:rsid w:val="00DE51B7"/>
    <w:rsid w:val="00E0233D"/>
    <w:rsid w:val="00E04CA8"/>
    <w:rsid w:val="00E14A40"/>
    <w:rsid w:val="00E1650F"/>
    <w:rsid w:val="00E20CEB"/>
    <w:rsid w:val="00E227B7"/>
    <w:rsid w:val="00E309A2"/>
    <w:rsid w:val="00E31AD3"/>
    <w:rsid w:val="00E32205"/>
    <w:rsid w:val="00E453C4"/>
    <w:rsid w:val="00E47142"/>
    <w:rsid w:val="00E50FD1"/>
    <w:rsid w:val="00E55268"/>
    <w:rsid w:val="00E60288"/>
    <w:rsid w:val="00E61634"/>
    <w:rsid w:val="00E622B6"/>
    <w:rsid w:val="00E71AD0"/>
    <w:rsid w:val="00E73690"/>
    <w:rsid w:val="00E73BE4"/>
    <w:rsid w:val="00E804A2"/>
    <w:rsid w:val="00E806CB"/>
    <w:rsid w:val="00E932C2"/>
    <w:rsid w:val="00EA6995"/>
    <w:rsid w:val="00EA75ED"/>
    <w:rsid w:val="00EB1AF1"/>
    <w:rsid w:val="00EB7553"/>
    <w:rsid w:val="00EF0270"/>
    <w:rsid w:val="00F000A5"/>
    <w:rsid w:val="00F075CE"/>
    <w:rsid w:val="00F1417C"/>
    <w:rsid w:val="00F16A90"/>
    <w:rsid w:val="00F25C52"/>
    <w:rsid w:val="00F2619D"/>
    <w:rsid w:val="00F32C2F"/>
    <w:rsid w:val="00F43A6B"/>
    <w:rsid w:val="00F551D2"/>
    <w:rsid w:val="00F619BE"/>
    <w:rsid w:val="00F64003"/>
    <w:rsid w:val="00F71C35"/>
    <w:rsid w:val="00F761E1"/>
    <w:rsid w:val="00F800A0"/>
    <w:rsid w:val="00F87C7F"/>
    <w:rsid w:val="00F960C3"/>
    <w:rsid w:val="00FA19E0"/>
    <w:rsid w:val="00FA5C31"/>
    <w:rsid w:val="00FB0BA9"/>
    <w:rsid w:val="00FC53ED"/>
    <w:rsid w:val="00FC7262"/>
    <w:rsid w:val="00FD7EE5"/>
    <w:rsid w:val="00FE23F4"/>
    <w:rsid w:val="00FE41AE"/>
    <w:rsid w:val="00FE7896"/>
    <w:rsid w:val="00FE78BE"/>
    <w:rsid w:val="00FF21B9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2A611-409B-4A35-8E47-F29DC091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0F2D"/>
    <w:rPr>
      <w:rFonts w:eastAsia="Times New Roman" w:cs="Calibri"/>
    </w:rPr>
  </w:style>
  <w:style w:type="paragraph" w:styleId="2">
    <w:name w:val="Body Text 2"/>
    <w:basedOn w:val="a"/>
    <w:link w:val="20"/>
    <w:uiPriority w:val="99"/>
    <w:rsid w:val="006641FF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641F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A1BC8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FE7896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B302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C92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928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92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9284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E74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74D8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D97F1E"/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D97F1E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3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3100</Words>
  <Characters>17672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ОИЗИ</cp:lastModifiedBy>
  <cp:revision>2</cp:revision>
  <cp:lastPrinted>2019-04-16T00:21:00Z</cp:lastPrinted>
  <dcterms:created xsi:type="dcterms:W3CDTF">2019-10-15T05:16:00Z</dcterms:created>
  <dcterms:modified xsi:type="dcterms:W3CDTF">2019-10-15T05:16:00Z</dcterms:modified>
</cp:coreProperties>
</file>